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B63" w:rsidRDefault="00500F82">
      <w:pPr>
        <w:pStyle w:val="Title"/>
      </w:pPr>
      <w:r>
        <w:t>Marryam Shah</w:t>
      </w:r>
    </w:p>
    <w:p w:rsidR="006B2B63" w:rsidRDefault="00500F82">
      <w:r>
        <w:t>Islamabad, Pakistan | 0342-5989628 | Whatsapp: +90 534 653 02 41 | marryamshah024@gmail.com</w:t>
      </w:r>
    </w:p>
    <w:p w:rsidR="006B2B63" w:rsidRDefault="00500F82">
      <w:pPr>
        <w:pStyle w:val="Heading1"/>
      </w:pPr>
      <w:r>
        <w:t>Professional Summary</w:t>
      </w:r>
    </w:p>
    <w:p w:rsidR="006B2B63" w:rsidRDefault="00500F82">
      <w:r>
        <w:t xml:space="preserve">Experienced lecturer and instructor with a strong background in Political Science, Sociology, and English language instruction. </w:t>
      </w:r>
      <w:r>
        <w:t>Skilled in course design, student engagement, and academic research, with a proven track record in teaching at university and school levels. Published researcher with expertise in women’s rights, political theory, and public policy.</w:t>
      </w:r>
    </w:p>
    <w:p w:rsidR="00CE61EB" w:rsidRDefault="00500F82" w:rsidP="00CE61EB">
      <w:pPr>
        <w:pStyle w:val="Heading1"/>
      </w:pPr>
      <w:r>
        <w:t>Work Experience</w:t>
      </w:r>
    </w:p>
    <w:p w:rsidR="00CE61EB" w:rsidRDefault="00CE61EB" w:rsidP="00CE61EB">
      <w:pPr>
        <w:pStyle w:val="Heading3"/>
      </w:pPr>
      <w:r>
        <w:t xml:space="preserve">Lecturer — </w:t>
      </w:r>
      <w:r>
        <w:t>RWU</w:t>
      </w:r>
    </w:p>
    <w:p w:rsidR="00CE61EB" w:rsidRPr="00CE61EB" w:rsidRDefault="00CE61EB" w:rsidP="00CE61EB">
      <w:r>
        <w:t xml:space="preserve">February 2025 </w:t>
      </w:r>
      <w:r>
        <w:t>– Present</w:t>
      </w:r>
    </w:p>
    <w:p w:rsidR="006B0151" w:rsidRDefault="00CE61EB" w:rsidP="006B0151">
      <w:r>
        <w:t>•</w:t>
      </w:r>
      <w:r>
        <w:t xml:space="preserve">  </w:t>
      </w:r>
      <w:r w:rsidR="006B0151">
        <w:t xml:space="preserve">2nd semester </w:t>
      </w:r>
      <w:r w:rsidR="006B0151">
        <w:t>Sociology Department</w:t>
      </w:r>
      <w:r w:rsidR="006B0151">
        <w:t>,</w:t>
      </w:r>
    </w:p>
    <w:p w:rsidR="00CE61EB" w:rsidRDefault="006B0151" w:rsidP="006B0151">
      <w:r>
        <w:t xml:space="preserve"> course: Community Development.</w:t>
      </w:r>
    </w:p>
    <w:p w:rsidR="006B0151" w:rsidRPr="00CE61EB" w:rsidRDefault="006B0151" w:rsidP="006B0151">
      <w:r>
        <w:t>•</w:t>
      </w:r>
      <w:r>
        <w:t xml:space="preserve"> </w:t>
      </w:r>
      <w:r w:rsidRPr="006B0151">
        <w:t>3rd semester, Political Science department: Constitutional Development and Pakistan's politics</w:t>
      </w:r>
    </w:p>
    <w:p w:rsidR="006B2B63" w:rsidRDefault="00500F82">
      <w:pPr>
        <w:pStyle w:val="Heading3"/>
      </w:pPr>
      <w:r>
        <w:t>L</w:t>
      </w:r>
      <w:r>
        <w:t>ecture</w:t>
      </w:r>
      <w:r>
        <w:t>r — Fatima Jinnah Women’s University</w:t>
      </w:r>
    </w:p>
    <w:p w:rsidR="006B2B63" w:rsidRDefault="00500F82">
      <w:r>
        <w:t>January 2024 – Present</w:t>
      </w:r>
    </w:p>
    <w:p w:rsidR="006B2B63" w:rsidRDefault="00500F82">
      <w:pPr>
        <w:pStyle w:val="ListBullet"/>
      </w:pPr>
      <w:r>
        <w:t>• Taught courses including Public International Law, Dimensions of Geo-Politics, Ideology and Constitution of Pakistan, Women in Development, and Introduction to Public Administration.</w:t>
      </w:r>
    </w:p>
    <w:p w:rsidR="006B2B63" w:rsidRDefault="00500F82">
      <w:pPr>
        <w:pStyle w:val="Heading3"/>
      </w:pPr>
      <w:r>
        <w:t xml:space="preserve">Lecturer — </w:t>
      </w:r>
      <w:r>
        <w:t>EduCo Academy</w:t>
      </w:r>
      <w:bookmarkStart w:id="0" w:name="_GoBack"/>
      <w:bookmarkEnd w:id="0"/>
    </w:p>
    <w:p w:rsidR="006B2B63" w:rsidRDefault="00500F82">
      <w:r>
        <w:t>January 2024 – Present</w:t>
      </w:r>
    </w:p>
    <w:p w:rsidR="006B2B63" w:rsidRDefault="00500F82">
      <w:pPr>
        <w:pStyle w:val="ListBullet"/>
      </w:pPr>
      <w:r>
        <w:t>• Taught A-level Political Science, Sociology, and Psychology (Social Sciences).</w:t>
      </w:r>
    </w:p>
    <w:p w:rsidR="006B2B63" w:rsidRDefault="00500F82">
      <w:pPr>
        <w:pStyle w:val="Heading3"/>
      </w:pPr>
      <w:r>
        <w:t>English Language Instructor — Yabancı Dil Akademi, Kocaeli, Türkiye</w:t>
      </w:r>
    </w:p>
    <w:p w:rsidR="006B2B63" w:rsidRDefault="00500F82">
      <w:r>
        <w:t>November 2019 – Present</w:t>
      </w:r>
    </w:p>
    <w:p w:rsidR="006B2B63" w:rsidRDefault="00500F82">
      <w:pPr>
        <w:pStyle w:val="ListBullet"/>
      </w:pPr>
      <w:r>
        <w:t>• Prepared students for IELTS examination.</w:t>
      </w:r>
    </w:p>
    <w:p w:rsidR="006B2B63" w:rsidRDefault="00500F82">
      <w:pPr>
        <w:pStyle w:val="ListBullet"/>
      </w:pPr>
      <w:r>
        <w:t>• C</w:t>
      </w:r>
      <w:r>
        <w:t>onducted practice tests to enhance understanding and time management.</w:t>
      </w:r>
    </w:p>
    <w:p w:rsidR="006B2B63" w:rsidRDefault="00500F82">
      <w:pPr>
        <w:pStyle w:val="Heading3"/>
      </w:pPr>
      <w:r>
        <w:lastRenderedPageBreak/>
        <w:t>Spoken English Instructor — Seyman İlkokulu ve Ortaokulu, Kocaeli, Türkiye</w:t>
      </w:r>
    </w:p>
    <w:p w:rsidR="006B2B63" w:rsidRDefault="00500F82">
      <w:r>
        <w:t>September 2019 – April 2020</w:t>
      </w:r>
    </w:p>
    <w:p w:rsidR="006B2B63" w:rsidRDefault="00500F82">
      <w:pPr>
        <w:pStyle w:val="ListBullet"/>
      </w:pPr>
      <w:r>
        <w:t>• Integrated English vocabulary into students’ everyday spoken language.</w:t>
      </w:r>
    </w:p>
    <w:p w:rsidR="006B2B63" w:rsidRDefault="00500F82">
      <w:pPr>
        <w:pStyle w:val="ListBullet"/>
      </w:pPr>
      <w:r>
        <w:t xml:space="preserve">• Planned </w:t>
      </w:r>
      <w:r>
        <w:t>lessons for spoken English classes.</w:t>
      </w:r>
    </w:p>
    <w:p w:rsidR="006B2B63" w:rsidRDefault="00500F82">
      <w:pPr>
        <w:pStyle w:val="Heading3"/>
      </w:pPr>
      <w:r>
        <w:t>Teacher — The City School, Islamabad, Pakistan</w:t>
      </w:r>
    </w:p>
    <w:p w:rsidR="006B2B63" w:rsidRDefault="00500F82">
      <w:r>
        <w:t>J</w:t>
      </w:r>
      <w:r>
        <w:t>anuary 2015 – September 2016</w:t>
      </w:r>
    </w:p>
    <w:p w:rsidR="006B2B63" w:rsidRDefault="00500F82">
      <w:pPr>
        <w:pStyle w:val="ListBullet"/>
      </w:pPr>
      <w:r>
        <w:t>• Homeroom teacher responsible for lesson planning, attendance, and evaluation.</w:t>
      </w:r>
    </w:p>
    <w:p w:rsidR="006B2B63" w:rsidRDefault="00500F82">
      <w:pPr>
        <w:pStyle w:val="ListBullet"/>
      </w:pPr>
      <w:r>
        <w:t>• Prepared question papers for examinations.</w:t>
      </w:r>
    </w:p>
    <w:p w:rsidR="006B2B63" w:rsidRDefault="00500F82">
      <w:pPr>
        <w:pStyle w:val="Heading3"/>
      </w:pPr>
      <w:r>
        <w:t>Internee — HAMD Fo</w:t>
      </w:r>
      <w:r>
        <w:t>undation, Rawalpindi, Pakistan</w:t>
      </w:r>
    </w:p>
    <w:p w:rsidR="006B2B63" w:rsidRDefault="00500F82">
      <w:r>
        <w:t>June 2013 – August 2013</w:t>
      </w:r>
    </w:p>
    <w:p w:rsidR="006B2B63" w:rsidRDefault="00500F82">
      <w:pPr>
        <w:pStyle w:val="ListBullet"/>
      </w:pPr>
      <w:r>
        <w:t>• Worked on inclusive education, women empowerment, and awareness campaigns.</w:t>
      </w:r>
    </w:p>
    <w:p w:rsidR="006B2B63" w:rsidRDefault="00500F82">
      <w:pPr>
        <w:pStyle w:val="ListBullet"/>
      </w:pPr>
      <w:r>
        <w:t>• Designed skill training programs for women.</w:t>
      </w:r>
    </w:p>
    <w:p w:rsidR="006B2B63" w:rsidRDefault="00500F82">
      <w:pPr>
        <w:pStyle w:val="Heading3"/>
      </w:pPr>
      <w:r>
        <w:t>Internee — Hashoo Foundation, Islamabad, Pakistan</w:t>
      </w:r>
    </w:p>
    <w:p w:rsidR="006B2B63" w:rsidRDefault="00500F82">
      <w:r>
        <w:t>May 2017 – October 2017</w:t>
      </w:r>
    </w:p>
    <w:p w:rsidR="006B2B63" w:rsidRDefault="00500F82">
      <w:pPr>
        <w:pStyle w:val="Heading1"/>
      </w:pPr>
      <w:r>
        <w:t>Education and Training</w:t>
      </w:r>
    </w:p>
    <w:p w:rsidR="006B2B63" w:rsidRDefault="00500F82">
      <w:pPr>
        <w:pStyle w:val="Heading3"/>
      </w:pPr>
      <w:r>
        <w:t>Master of Politics and Social Sciences — Kocaeli University, Kocaeli, Türkiye</w:t>
      </w:r>
    </w:p>
    <w:p w:rsidR="006B2B63" w:rsidRDefault="00500F82">
      <w:r>
        <w:t>2018–2022</w:t>
      </w:r>
    </w:p>
    <w:p w:rsidR="006B2B63" w:rsidRDefault="00500F82">
      <w:r>
        <w:t>CGPA: 3.63</w:t>
      </w:r>
    </w:p>
    <w:p w:rsidR="006B2B63" w:rsidRDefault="00500F82">
      <w:r>
        <w:t>Awardee of Turkish Government Scholarship. Thesis: Istanbul Convention and the Case of Turkey</w:t>
      </w:r>
    </w:p>
    <w:p w:rsidR="006B2B63" w:rsidRDefault="00500F82">
      <w:pPr>
        <w:pStyle w:val="Heading3"/>
      </w:pPr>
      <w:r>
        <w:t>Master of Philosophy (MPhil) in Governme</w:t>
      </w:r>
      <w:r>
        <w:t>nt and Public Policy — National Defence University, Islamabad, Pakistan</w:t>
      </w:r>
    </w:p>
    <w:p w:rsidR="006B2B63" w:rsidRDefault="00500F82">
      <w:r>
        <w:t>2015–2018</w:t>
      </w:r>
    </w:p>
    <w:p w:rsidR="006B2B63" w:rsidRDefault="00500F82">
      <w:r>
        <w:t>Thesis: Women Protection Bill; People’s Perception and Acceptability</w:t>
      </w:r>
    </w:p>
    <w:p w:rsidR="006B2B63" w:rsidRDefault="00500F82">
      <w:pPr>
        <w:pStyle w:val="Heading3"/>
      </w:pPr>
      <w:r>
        <w:t>Bachelor of Social Sciences in Development Studies — Bahria University, Islamabad, Pakistan</w:t>
      </w:r>
    </w:p>
    <w:p w:rsidR="006B2B63" w:rsidRDefault="00500F82">
      <w:r>
        <w:t>2011–2015</w:t>
      </w:r>
    </w:p>
    <w:p w:rsidR="006B2B63" w:rsidRDefault="00500F82">
      <w:r>
        <w:t>CGP</w:t>
      </w:r>
      <w:r>
        <w:t>A: 3.41</w:t>
      </w:r>
    </w:p>
    <w:p w:rsidR="006B2B63" w:rsidRDefault="00500F82">
      <w:r>
        <w:t>Thesis: Role of Corporate Social Responsibility in the Socio-economic Development of Pakistan</w:t>
      </w:r>
    </w:p>
    <w:p w:rsidR="006B2B63" w:rsidRDefault="00500F82">
      <w:pPr>
        <w:pStyle w:val="Heading1"/>
      </w:pPr>
      <w:r>
        <w:lastRenderedPageBreak/>
        <w:t>Skills</w:t>
      </w:r>
    </w:p>
    <w:p w:rsidR="006B2B63" w:rsidRDefault="00500F82">
      <w:r>
        <w:t>Languages: Pashto (Native), English (C2), Turkish (B1), Urdu (C1)</w:t>
      </w:r>
    </w:p>
    <w:p w:rsidR="00CE61EB" w:rsidRDefault="00CE61EB"/>
    <w:p w:rsidR="00CE61EB" w:rsidRDefault="00CE61EB"/>
    <w:tbl>
      <w:tblPr>
        <w:tblW w:w="9047" w:type="dxa"/>
        <w:tblBorders>
          <w:top w:val="single" w:sz="12" w:space="0" w:color="C5C5C5"/>
          <w:left w:val="single" w:sz="12" w:space="0" w:color="C5C5C5"/>
          <w:bottom w:val="single" w:sz="12" w:space="0" w:color="C5C5C5"/>
          <w:right w:val="single" w:sz="12" w:space="0" w:color="C5C5C5"/>
          <w:insideH w:val="single" w:sz="12" w:space="0" w:color="C5C5C5"/>
          <w:insideV w:val="single" w:sz="12" w:space="0" w:color="C5C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115"/>
        <w:gridCol w:w="1129"/>
        <w:gridCol w:w="1863"/>
        <w:gridCol w:w="1863"/>
        <w:gridCol w:w="1482"/>
      </w:tblGrid>
      <w:tr w:rsidR="00CE61EB" w:rsidTr="00FB120C">
        <w:trPr>
          <w:trHeight w:val="321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CE61EB" w:rsidRDefault="00CE61EB" w:rsidP="00FB120C">
            <w:pPr>
              <w:pStyle w:val="TableParagraph"/>
              <w:ind w:right="197"/>
              <w:jc w:val="both"/>
              <w:rPr>
                <w:sz w:val="18"/>
              </w:rPr>
            </w:pPr>
            <w:r>
              <w:rPr>
                <w:color w:val="0D4093"/>
                <w:sz w:val="18"/>
              </w:rPr>
              <w:t>Other</w:t>
            </w:r>
            <w:r>
              <w:rPr>
                <w:color w:val="0D4093"/>
                <w:spacing w:val="-6"/>
                <w:sz w:val="18"/>
              </w:rPr>
              <w:t xml:space="preserve"> </w:t>
            </w:r>
            <w:r>
              <w:rPr>
                <w:color w:val="0D4093"/>
                <w:spacing w:val="-2"/>
                <w:sz w:val="18"/>
              </w:rPr>
              <w:t>languages</w:t>
            </w:r>
          </w:p>
        </w:tc>
        <w:tc>
          <w:tcPr>
            <w:tcW w:w="2244" w:type="dxa"/>
            <w:gridSpan w:val="2"/>
            <w:tcBorders>
              <w:left w:val="nil"/>
            </w:tcBorders>
          </w:tcPr>
          <w:p w:rsidR="00CE61EB" w:rsidRDefault="00CE61EB" w:rsidP="00FB120C">
            <w:pPr>
              <w:pStyle w:val="TableParagraph"/>
              <w:ind w:left="328"/>
              <w:jc w:val="both"/>
              <w:rPr>
                <w:sz w:val="18"/>
              </w:rPr>
            </w:pPr>
            <w:r>
              <w:rPr>
                <w:color w:val="0D4093"/>
                <w:spacing w:val="-2"/>
                <w:sz w:val="18"/>
              </w:rPr>
              <w:t>UNDERSTANDING</w:t>
            </w:r>
          </w:p>
        </w:tc>
        <w:tc>
          <w:tcPr>
            <w:tcW w:w="3726" w:type="dxa"/>
            <w:gridSpan w:val="2"/>
          </w:tcPr>
          <w:p w:rsidR="00CE61EB" w:rsidRDefault="00CE61EB" w:rsidP="00FB120C">
            <w:pPr>
              <w:pStyle w:val="TableParagraph"/>
              <w:ind w:left="1376" w:right="1374"/>
              <w:jc w:val="both"/>
              <w:rPr>
                <w:sz w:val="18"/>
              </w:rPr>
            </w:pPr>
            <w:r>
              <w:rPr>
                <w:color w:val="0D4093"/>
                <w:spacing w:val="-2"/>
                <w:sz w:val="18"/>
              </w:rPr>
              <w:t>SPEAKING</w:t>
            </w:r>
          </w:p>
        </w:tc>
        <w:tc>
          <w:tcPr>
            <w:tcW w:w="1482" w:type="dxa"/>
            <w:tcBorders>
              <w:right w:val="nil"/>
            </w:tcBorders>
          </w:tcPr>
          <w:p w:rsidR="00CE61EB" w:rsidRDefault="00CE61EB" w:rsidP="00FB120C">
            <w:pPr>
              <w:pStyle w:val="TableParagraph"/>
              <w:ind w:left="339" w:right="321"/>
              <w:jc w:val="both"/>
              <w:rPr>
                <w:sz w:val="18"/>
              </w:rPr>
            </w:pPr>
            <w:r>
              <w:rPr>
                <w:color w:val="0D4093"/>
                <w:spacing w:val="-2"/>
                <w:sz w:val="18"/>
              </w:rPr>
              <w:t>WRITING</w:t>
            </w:r>
          </w:p>
        </w:tc>
      </w:tr>
      <w:tr w:rsidR="00CE61EB" w:rsidTr="00FB120C">
        <w:trPr>
          <w:trHeight w:val="321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0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left w:val="nil"/>
            </w:tcBorders>
          </w:tcPr>
          <w:p w:rsidR="00CE61EB" w:rsidRDefault="00CE61EB" w:rsidP="00FB120C">
            <w:pPr>
              <w:pStyle w:val="TableParagraph"/>
              <w:ind w:left="173" w:right="184"/>
              <w:jc w:val="both"/>
              <w:rPr>
                <w:sz w:val="18"/>
              </w:rPr>
            </w:pPr>
            <w:r>
              <w:rPr>
                <w:color w:val="0D4093"/>
                <w:spacing w:val="-2"/>
                <w:sz w:val="18"/>
              </w:rPr>
              <w:t>Listening</w:t>
            </w:r>
          </w:p>
        </w:tc>
        <w:tc>
          <w:tcPr>
            <w:tcW w:w="1129" w:type="dxa"/>
          </w:tcPr>
          <w:p w:rsidR="00CE61EB" w:rsidRDefault="00CE61EB" w:rsidP="00FB120C">
            <w:pPr>
              <w:pStyle w:val="TableParagraph"/>
              <w:ind w:left="201" w:right="201"/>
              <w:jc w:val="both"/>
              <w:rPr>
                <w:sz w:val="18"/>
              </w:rPr>
            </w:pPr>
            <w:r>
              <w:rPr>
                <w:color w:val="0D4093"/>
                <w:spacing w:val="-2"/>
                <w:sz w:val="18"/>
              </w:rPr>
              <w:t>Reading</w:t>
            </w:r>
          </w:p>
        </w:tc>
        <w:tc>
          <w:tcPr>
            <w:tcW w:w="1863" w:type="dxa"/>
          </w:tcPr>
          <w:p w:rsidR="00CE61EB" w:rsidRDefault="00CE61EB" w:rsidP="00FB120C">
            <w:pPr>
              <w:pStyle w:val="TableParagraph"/>
              <w:ind w:left="162" w:right="160"/>
              <w:jc w:val="both"/>
              <w:rPr>
                <w:sz w:val="18"/>
              </w:rPr>
            </w:pPr>
            <w:r>
              <w:rPr>
                <w:color w:val="0D4093"/>
                <w:sz w:val="18"/>
              </w:rPr>
              <w:t>Spoken</w:t>
            </w:r>
            <w:r>
              <w:rPr>
                <w:color w:val="0D4093"/>
                <w:spacing w:val="-12"/>
                <w:sz w:val="18"/>
              </w:rPr>
              <w:t xml:space="preserve"> </w:t>
            </w:r>
            <w:r>
              <w:rPr>
                <w:color w:val="0D4093"/>
                <w:spacing w:val="-2"/>
                <w:sz w:val="18"/>
              </w:rPr>
              <w:t>interaction</w:t>
            </w:r>
          </w:p>
        </w:tc>
        <w:tc>
          <w:tcPr>
            <w:tcW w:w="1863" w:type="dxa"/>
          </w:tcPr>
          <w:p w:rsidR="00CE61EB" w:rsidRDefault="00CE61EB" w:rsidP="00FB120C">
            <w:pPr>
              <w:pStyle w:val="TableParagraph"/>
              <w:ind w:left="163" w:right="160"/>
              <w:jc w:val="both"/>
              <w:rPr>
                <w:sz w:val="18"/>
              </w:rPr>
            </w:pPr>
            <w:r>
              <w:rPr>
                <w:color w:val="0D4093"/>
                <w:sz w:val="18"/>
              </w:rPr>
              <w:t>Spoken</w:t>
            </w:r>
            <w:r>
              <w:rPr>
                <w:color w:val="0D4093"/>
                <w:spacing w:val="-12"/>
                <w:sz w:val="18"/>
              </w:rPr>
              <w:t xml:space="preserve"> </w:t>
            </w:r>
            <w:r>
              <w:rPr>
                <w:color w:val="0D4093"/>
                <w:spacing w:val="-2"/>
                <w:sz w:val="18"/>
              </w:rPr>
              <w:t>production</w:t>
            </w:r>
          </w:p>
        </w:tc>
        <w:tc>
          <w:tcPr>
            <w:tcW w:w="1482" w:type="dxa"/>
            <w:tcBorders>
              <w:right w:val="nil"/>
            </w:tcBorders>
          </w:tcPr>
          <w:p w:rsidR="00CE61EB" w:rsidRDefault="00CE61EB" w:rsidP="00FB120C">
            <w:pPr>
              <w:pStyle w:val="TableParagraph"/>
              <w:spacing w:before="0"/>
              <w:jc w:val="both"/>
              <w:rPr>
                <w:rFonts w:ascii="Times New Roman"/>
                <w:sz w:val="18"/>
              </w:rPr>
            </w:pPr>
          </w:p>
        </w:tc>
      </w:tr>
      <w:tr w:rsidR="00CE61EB" w:rsidTr="00FB120C">
        <w:trPr>
          <w:trHeight w:val="275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28"/>
              <w:ind w:right="197"/>
              <w:jc w:val="both"/>
              <w:rPr>
                <w:sz w:val="18"/>
              </w:rPr>
            </w:pPr>
            <w:r>
              <w:rPr>
                <w:color w:val="3E3938"/>
                <w:spacing w:val="-2"/>
                <w:sz w:val="18"/>
              </w:rPr>
              <w:t>English</w:t>
            </w:r>
          </w:p>
        </w:tc>
        <w:tc>
          <w:tcPr>
            <w:tcW w:w="1115" w:type="dxa"/>
            <w:tcBorders>
              <w:left w:val="nil"/>
              <w:bottom w:val="single" w:sz="8" w:space="0" w:color="C5C5C5"/>
              <w:right w:val="nil"/>
            </w:tcBorders>
          </w:tcPr>
          <w:p w:rsidR="00CE61EB" w:rsidRDefault="00CE61EB" w:rsidP="00FB120C">
            <w:pPr>
              <w:pStyle w:val="TableParagraph"/>
              <w:spacing w:before="28"/>
              <w:ind w:left="428" w:right="425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129" w:type="dxa"/>
            <w:tcBorders>
              <w:left w:val="nil"/>
              <w:bottom w:val="single" w:sz="8" w:space="0" w:color="C5C5C5"/>
              <w:right w:val="nil"/>
            </w:tcBorders>
          </w:tcPr>
          <w:p w:rsidR="00CE61EB" w:rsidRDefault="00CE61EB" w:rsidP="00FB120C">
            <w:pPr>
              <w:pStyle w:val="TableParagraph"/>
              <w:spacing w:before="28"/>
              <w:ind w:left="433" w:right="435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863" w:type="dxa"/>
            <w:tcBorders>
              <w:left w:val="nil"/>
              <w:bottom w:val="single" w:sz="8" w:space="0" w:color="C5C5C5"/>
              <w:right w:val="nil"/>
            </w:tcBorders>
          </w:tcPr>
          <w:p w:rsidR="00CE61EB" w:rsidRDefault="00CE61EB" w:rsidP="00FB120C">
            <w:pPr>
              <w:pStyle w:val="TableParagraph"/>
              <w:spacing w:before="28"/>
              <w:ind w:left="793" w:right="806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863" w:type="dxa"/>
            <w:tcBorders>
              <w:left w:val="nil"/>
              <w:bottom w:val="single" w:sz="8" w:space="0" w:color="C5C5C5"/>
              <w:right w:val="nil"/>
            </w:tcBorders>
          </w:tcPr>
          <w:p w:rsidR="00CE61EB" w:rsidRDefault="00CE61EB" w:rsidP="00FB120C">
            <w:pPr>
              <w:pStyle w:val="TableParagraph"/>
              <w:spacing w:before="28"/>
              <w:ind w:left="794" w:right="805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482" w:type="dxa"/>
            <w:tcBorders>
              <w:left w:val="nil"/>
              <w:bottom w:val="single" w:sz="8" w:space="0" w:color="C5C5C5"/>
              <w:right w:val="nil"/>
            </w:tcBorders>
          </w:tcPr>
          <w:p w:rsidR="00CE61EB" w:rsidRDefault="00CE61EB" w:rsidP="00FB120C">
            <w:pPr>
              <w:pStyle w:val="TableParagraph"/>
              <w:spacing w:before="28"/>
              <w:ind w:left="609" w:right="611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</w:tr>
      <w:tr w:rsidR="00CE61EB" w:rsidTr="00FB120C">
        <w:trPr>
          <w:trHeight w:val="275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25"/>
              <w:ind w:right="197"/>
              <w:jc w:val="both"/>
              <w:rPr>
                <w:sz w:val="18"/>
              </w:rPr>
            </w:pPr>
            <w:r>
              <w:rPr>
                <w:color w:val="3E3938"/>
                <w:spacing w:val="-2"/>
                <w:sz w:val="18"/>
              </w:rPr>
              <w:t>Turkish</w:t>
            </w:r>
          </w:p>
        </w:tc>
        <w:tc>
          <w:tcPr>
            <w:tcW w:w="1115" w:type="dxa"/>
            <w:tcBorders>
              <w:top w:val="single" w:sz="8" w:space="0" w:color="C5C5C5"/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39"/>
              <w:ind w:left="428" w:right="425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B1</w:t>
            </w:r>
          </w:p>
        </w:tc>
        <w:tc>
          <w:tcPr>
            <w:tcW w:w="1129" w:type="dxa"/>
            <w:tcBorders>
              <w:top w:val="single" w:sz="8" w:space="0" w:color="C5C5C5"/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39"/>
              <w:ind w:left="433" w:right="435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B1</w:t>
            </w:r>
          </w:p>
        </w:tc>
        <w:tc>
          <w:tcPr>
            <w:tcW w:w="1863" w:type="dxa"/>
            <w:tcBorders>
              <w:top w:val="single" w:sz="8" w:space="0" w:color="C5C5C5"/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39"/>
              <w:ind w:left="793" w:right="806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B1</w:t>
            </w:r>
          </w:p>
        </w:tc>
        <w:tc>
          <w:tcPr>
            <w:tcW w:w="1863" w:type="dxa"/>
            <w:tcBorders>
              <w:top w:val="single" w:sz="8" w:space="0" w:color="C5C5C5"/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39"/>
              <w:ind w:left="794" w:right="805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B1</w:t>
            </w:r>
          </w:p>
        </w:tc>
        <w:tc>
          <w:tcPr>
            <w:tcW w:w="1482" w:type="dxa"/>
            <w:tcBorders>
              <w:top w:val="single" w:sz="8" w:space="0" w:color="C5C5C5"/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39"/>
              <w:ind w:left="609" w:right="611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B1</w:t>
            </w:r>
          </w:p>
        </w:tc>
      </w:tr>
      <w:tr w:rsidR="00CE61EB" w:rsidTr="00FB120C">
        <w:trPr>
          <w:trHeight w:val="276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26"/>
              <w:ind w:right="197"/>
              <w:jc w:val="both"/>
              <w:rPr>
                <w:sz w:val="18"/>
              </w:rPr>
            </w:pPr>
            <w:r>
              <w:rPr>
                <w:color w:val="3E3938"/>
                <w:spacing w:val="-4"/>
                <w:sz w:val="18"/>
              </w:rPr>
              <w:t>Urdu</w:t>
            </w:r>
          </w:p>
        </w:tc>
        <w:tc>
          <w:tcPr>
            <w:tcW w:w="1115" w:type="dxa"/>
            <w:tcBorders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40"/>
              <w:ind w:left="428" w:right="425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  <w:tc>
          <w:tcPr>
            <w:tcW w:w="1129" w:type="dxa"/>
            <w:tcBorders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40"/>
              <w:ind w:left="433" w:right="435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  <w:tc>
          <w:tcPr>
            <w:tcW w:w="1863" w:type="dxa"/>
            <w:tcBorders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40"/>
              <w:ind w:left="793" w:right="806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  <w:tc>
          <w:tcPr>
            <w:tcW w:w="1863" w:type="dxa"/>
            <w:tcBorders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40"/>
              <w:ind w:left="794" w:right="806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  <w:tc>
          <w:tcPr>
            <w:tcW w:w="1482" w:type="dxa"/>
            <w:tcBorders>
              <w:left w:val="nil"/>
              <w:right w:val="nil"/>
            </w:tcBorders>
          </w:tcPr>
          <w:p w:rsidR="00CE61EB" w:rsidRDefault="00CE61EB" w:rsidP="00FB120C">
            <w:pPr>
              <w:pStyle w:val="TableParagraph"/>
              <w:spacing w:before="40"/>
              <w:ind w:left="609" w:right="611"/>
              <w:jc w:val="both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</w:tr>
    </w:tbl>
    <w:p w:rsidR="006B0151" w:rsidRDefault="00CE61EB" w:rsidP="006B0151">
      <w:pPr>
        <w:spacing w:before="39" w:line="264" w:lineRule="auto"/>
        <w:ind w:left="2942" w:right="1004"/>
        <w:jc w:val="both"/>
        <w:rPr>
          <w:color w:val="0D4093"/>
          <w:sz w:val="16"/>
        </w:rPr>
      </w:pPr>
      <w:r>
        <w:rPr>
          <w:color w:val="0D4093"/>
          <w:sz w:val="16"/>
        </w:rPr>
        <w:t>Levels: A1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and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A2: Basic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user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–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B1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and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B2: Independent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user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–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C1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and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C2: Proficient</w:t>
      </w:r>
      <w:r>
        <w:rPr>
          <w:color w:val="0D4093"/>
          <w:spacing w:val="-4"/>
          <w:sz w:val="16"/>
        </w:rPr>
        <w:t xml:space="preserve"> </w:t>
      </w:r>
      <w:r>
        <w:rPr>
          <w:color w:val="0D4093"/>
          <w:sz w:val="16"/>
        </w:rPr>
        <w:t>user</w:t>
      </w:r>
    </w:p>
    <w:p w:rsidR="00CE61EB" w:rsidRPr="006B0151" w:rsidRDefault="00CE61EB" w:rsidP="006B0151">
      <w:pPr>
        <w:spacing w:before="39" w:line="264" w:lineRule="auto"/>
        <w:ind w:left="2942" w:right="1004"/>
        <w:jc w:val="both"/>
        <w:rPr>
          <w:color w:val="0D4093"/>
          <w:sz w:val="16"/>
        </w:rPr>
      </w:pPr>
      <w:hyperlink r:id="rId8">
        <w:r>
          <w:rPr>
            <w:color w:val="00007F"/>
            <w:sz w:val="16"/>
            <w:u w:val="single" w:color="00007F"/>
          </w:rPr>
          <w:t>Common European Framework of Reference for Languages</w:t>
        </w:r>
      </w:hyperlink>
    </w:p>
    <w:p w:rsidR="00CE61EB" w:rsidRDefault="00CE61EB" w:rsidP="00CE61EB">
      <w:pPr>
        <w:pStyle w:val="BodyText"/>
        <w:spacing w:before="7"/>
        <w:jc w:val="both"/>
        <w:rPr>
          <w:sz w:val="26"/>
        </w:rPr>
      </w:pPr>
    </w:p>
    <w:p w:rsidR="00CE61EB" w:rsidRDefault="00CE61EB" w:rsidP="00CE61EB">
      <w:pPr>
        <w:pStyle w:val="BodyText"/>
        <w:spacing w:before="1"/>
        <w:jc w:val="both"/>
      </w:pPr>
      <w:r w:rsidRPr="00CE61EB">
        <w:rPr>
          <w:rFonts w:asciiTheme="majorHAnsi" w:hAnsiTheme="majorHAnsi"/>
          <w:b/>
          <w:bCs/>
          <w:color w:val="4F81BD" w:themeColor="accent1"/>
        </w:rPr>
        <w:t>Communication</w:t>
      </w:r>
      <w:r w:rsidRPr="00CE61EB">
        <w:rPr>
          <w:rFonts w:asciiTheme="majorHAnsi" w:hAnsiTheme="majorHAnsi"/>
          <w:b/>
          <w:bCs/>
          <w:color w:val="4F81BD" w:themeColor="accent1"/>
          <w:spacing w:val="-6"/>
        </w:rPr>
        <w:t xml:space="preserve"> </w:t>
      </w:r>
      <w:r w:rsidRPr="00CE61EB">
        <w:rPr>
          <w:rFonts w:asciiTheme="majorHAnsi" w:hAnsiTheme="majorHAnsi"/>
          <w:b/>
          <w:bCs/>
          <w:color w:val="4F81BD" w:themeColor="accent1"/>
        </w:rPr>
        <w:t>skills</w:t>
      </w:r>
      <w:r w:rsidRPr="00CE61EB">
        <w:rPr>
          <w:color w:val="4F81BD" w:themeColor="accent1"/>
          <w:spacing w:val="40"/>
        </w:rPr>
        <w:t xml:space="preserve"> </w:t>
      </w:r>
      <w:r>
        <w:rPr>
          <w:color w:val="0D4093"/>
          <w:spacing w:val="40"/>
        </w:rPr>
        <w:t>–</w:t>
      </w:r>
      <w:r>
        <w:rPr>
          <w:color w:val="3E3938"/>
          <w:spacing w:val="41"/>
        </w:rPr>
        <w:t xml:space="preserve"> </w:t>
      </w:r>
      <w:r>
        <w:rPr>
          <w:color w:val="3E3938"/>
        </w:rPr>
        <w:t>Oral</w:t>
      </w:r>
      <w:r>
        <w:rPr>
          <w:color w:val="3E3938"/>
          <w:spacing w:val="-6"/>
        </w:rPr>
        <w:t xml:space="preserve"> </w:t>
      </w:r>
      <w:r>
        <w:rPr>
          <w:color w:val="3E3938"/>
        </w:rPr>
        <w:t>presentations</w:t>
      </w:r>
      <w:r>
        <w:rPr>
          <w:color w:val="3E3938"/>
          <w:spacing w:val="-5"/>
        </w:rPr>
        <w:t xml:space="preserve"> </w:t>
      </w:r>
      <w:r>
        <w:rPr>
          <w:color w:val="3E3938"/>
        </w:rPr>
        <w:t>in</w:t>
      </w:r>
      <w:r>
        <w:rPr>
          <w:color w:val="3E3938"/>
          <w:spacing w:val="-6"/>
        </w:rPr>
        <w:t xml:space="preserve"> </w:t>
      </w:r>
      <w:r>
        <w:rPr>
          <w:color w:val="3E3938"/>
        </w:rPr>
        <w:t>class</w:t>
      </w:r>
      <w:r>
        <w:rPr>
          <w:color w:val="3E3938"/>
          <w:spacing w:val="-5"/>
        </w:rPr>
        <w:t xml:space="preserve"> </w:t>
      </w:r>
      <w:r>
        <w:rPr>
          <w:color w:val="3E3938"/>
        </w:rPr>
        <w:t>and</w:t>
      </w:r>
      <w:r>
        <w:rPr>
          <w:color w:val="3E3938"/>
          <w:spacing w:val="-6"/>
        </w:rPr>
        <w:t xml:space="preserve"> </w:t>
      </w:r>
      <w:r>
        <w:rPr>
          <w:color w:val="3E3938"/>
        </w:rPr>
        <w:t>seminars/workshops</w:t>
      </w:r>
      <w:r>
        <w:rPr>
          <w:color w:val="3E3938"/>
          <w:spacing w:val="-6"/>
        </w:rPr>
        <w:t xml:space="preserve"> </w:t>
      </w:r>
      <w:r>
        <w:rPr>
          <w:color w:val="3E3938"/>
        </w:rPr>
        <w:t>and</w:t>
      </w:r>
      <w:r>
        <w:rPr>
          <w:color w:val="3E3938"/>
          <w:spacing w:val="-5"/>
        </w:rPr>
        <w:t xml:space="preserve"> </w:t>
      </w:r>
      <w:r>
        <w:rPr>
          <w:color w:val="3E3938"/>
          <w:spacing w:val="-2"/>
        </w:rPr>
        <w:t>conferences</w:t>
      </w:r>
    </w:p>
    <w:p w:rsidR="00CE61EB" w:rsidRDefault="00CE61EB" w:rsidP="00CE61EB">
      <w:pPr>
        <w:pStyle w:val="ListParagraph"/>
        <w:widowControl w:val="0"/>
        <w:numPr>
          <w:ilvl w:val="1"/>
          <w:numId w:val="10"/>
        </w:numPr>
        <w:tabs>
          <w:tab w:val="left" w:pos="3142"/>
        </w:tabs>
        <w:autoSpaceDE w:val="0"/>
        <w:autoSpaceDN w:val="0"/>
        <w:spacing w:before="8" w:after="0" w:line="249" w:lineRule="auto"/>
        <w:ind w:right="106"/>
        <w:contextualSpacing w:val="0"/>
        <w:jc w:val="both"/>
        <w:rPr>
          <w:sz w:val="18"/>
        </w:rPr>
      </w:pPr>
      <w:r>
        <w:rPr>
          <w:color w:val="3E3938"/>
          <w:sz w:val="18"/>
        </w:rPr>
        <w:t>Communicating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with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colleagues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and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supervisors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regarding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the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projects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and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>research</w:t>
      </w:r>
      <w:r>
        <w:rPr>
          <w:color w:val="3E3938"/>
          <w:spacing w:val="-5"/>
          <w:sz w:val="18"/>
        </w:rPr>
        <w:t xml:space="preserve"> </w:t>
      </w:r>
      <w:r>
        <w:rPr>
          <w:color w:val="3E3938"/>
          <w:sz w:val="18"/>
        </w:rPr>
        <w:t xml:space="preserve">activi- </w:t>
      </w:r>
      <w:r>
        <w:rPr>
          <w:color w:val="3E3938"/>
          <w:spacing w:val="-4"/>
          <w:sz w:val="18"/>
        </w:rPr>
        <w:t>ties</w:t>
      </w:r>
    </w:p>
    <w:p w:rsidR="00CE61EB" w:rsidRDefault="00CE61EB" w:rsidP="00CE61EB">
      <w:pPr>
        <w:pStyle w:val="ListParagraph"/>
        <w:widowControl w:val="0"/>
        <w:numPr>
          <w:ilvl w:val="1"/>
          <w:numId w:val="10"/>
        </w:numPr>
        <w:tabs>
          <w:tab w:val="left" w:pos="3142"/>
        </w:tabs>
        <w:autoSpaceDE w:val="0"/>
        <w:autoSpaceDN w:val="0"/>
        <w:spacing w:after="0" w:line="240" w:lineRule="auto"/>
        <w:contextualSpacing w:val="0"/>
        <w:jc w:val="both"/>
        <w:rPr>
          <w:sz w:val="18"/>
        </w:rPr>
      </w:pPr>
      <w:r>
        <w:rPr>
          <w:color w:val="3E3938"/>
          <w:sz w:val="18"/>
        </w:rPr>
        <w:t>Report</w:t>
      </w:r>
      <w:r>
        <w:rPr>
          <w:color w:val="3E3938"/>
          <w:spacing w:val="-6"/>
          <w:sz w:val="18"/>
        </w:rPr>
        <w:t xml:space="preserve"> </w:t>
      </w:r>
      <w:r>
        <w:rPr>
          <w:color w:val="3E3938"/>
          <w:sz w:val="18"/>
        </w:rPr>
        <w:t>preparation</w:t>
      </w:r>
      <w:r>
        <w:rPr>
          <w:color w:val="3E3938"/>
          <w:spacing w:val="-6"/>
          <w:sz w:val="18"/>
        </w:rPr>
        <w:t xml:space="preserve"> </w:t>
      </w:r>
      <w:r>
        <w:rPr>
          <w:color w:val="3E3938"/>
          <w:sz w:val="18"/>
        </w:rPr>
        <w:t>and</w:t>
      </w:r>
      <w:r>
        <w:rPr>
          <w:color w:val="3E3938"/>
          <w:spacing w:val="-6"/>
          <w:sz w:val="18"/>
        </w:rPr>
        <w:t xml:space="preserve"> </w:t>
      </w:r>
      <w:r>
        <w:rPr>
          <w:color w:val="3E3938"/>
          <w:sz w:val="18"/>
        </w:rPr>
        <w:t>scientific</w:t>
      </w:r>
      <w:r>
        <w:rPr>
          <w:color w:val="3E3938"/>
          <w:spacing w:val="-6"/>
          <w:sz w:val="18"/>
        </w:rPr>
        <w:t xml:space="preserve"> </w:t>
      </w:r>
      <w:r>
        <w:rPr>
          <w:color w:val="3E3938"/>
          <w:spacing w:val="-2"/>
          <w:sz w:val="18"/>
        </w:rPr>
        <w:t>writing</w:t>
      </w:r>
    </w:p>
    <w:p w:rsidR="00CE61EB" w:rsidRDefault="00CE61EB" w:rsidP="00CE61EB">
      <w:pPr>
        <w:pStyle w:val="BodyText"/>
        <w:spacing w:before="8"/>
        <w:jc w:val="both"/>
        <w:rPr>
          <w:sz w:val="25"/>
        </w:rPr>
      </w:pPr>
    </w:p>
    <w:p w:rsidR="00CE61EB" w:rsidRDefault="00CE61EB" w:rsidP="00CE61EB">
      <w:pPr>
        <w:pStyle w:val="BodyText"/>
        <w:spacing w:line="249" w:lineRule="auto"/>
        <w:jc w:val="both"/>
      </w:pPr>
      <w:r w:rsidRPr="00CE61EB">
        <w:rPr>
          <w:rFonts w:asciiTheme="majorHAnsi" w:hAnsiTheme="majorHAnsi"/>
          <w:b/>
          <w:bCs/>
          <w:color w:val="4F81BD" w:themeColor="accent1"/>
        </w:rPr>
        <w:t>Organizational</w:t>
      </w:r>
      <w:r w:rsidRPr="00CE61EB">
        <w:rPr>
          <w:rFonts w:asciiTheme="majorHAnsi" w:hAnsiTheme="majorHAnsi"/>
          <w:b/>
          <w:bCs/>
          <w:color w:val="4F81BD" w:themeColor="accent1"/>
          <w:spacing w:val="-6"/>
        </w:rPr>
        <w:t xml:space="preserve"> </w:t>
      </w:r>
      <w:r w:rsidRPr="00CE61EB">
        <w:rPr>
          <w:rFonts w:asciiTheme="majorHAnsi" w:hAnsiTheme="majorHAnsi"/>
          <w:b/>
          <w:bCs/>
          <w:color w:val="4F81BD" w:themeColor="accent1"/>
        </w:rPr>
        <w:t>/</w:t>
      </w:r>
      <w:r w:rsidRPr="00CE61EB">
        <w:rPr>
          <w:rFonts w:asciiTheme="majorHAnsi" w:hAnsiTheme="majorHAnsi"/>
          <w:b/>
          <w:bCs/>
          <w:color w:val="4F81BD" w:themeColor="accent1"/>
          <w:spacing w:val="-6"/>
        </w:rPr>
        <w:t xml:space="preserve"> </w:t>
      </w:r>
      <w:r w:rsidRPr="00CE61EB">
        <w:rPr>
          <w:rFonts w:asciiTheme="majorHAnsi" w:hAnsiTheme="majorHAnsi"/>
          <w:b/>
          <w:bCs/>
          <w:color w:val="4F81BD" w:themeColor="accent1"/>
        </w:rPr>
        <w:t>managerial</w:t>
      </w:r>
      <w:r w:rsidRPr="00CE61EB">
        <w:rPr>
          <w:rFonts w:asciiTheme="majorHAnsi" w:hAnsiTheme="majorHAnsi"/>
          <w:b/>
          <w:bCs/>
          <w:color w:val="4F81BD" w:themeColor="accent1"/>
          <w:spacing w:val="-6"/>
        </w:rPr>
        <w:t xml:space="preserve"> </w:t>
      </w:r>
      <w:r w:rsidRPr="00CE61EB">
        <w:rPr>
          <w:rFonts w:asciiTheme="majorHAnsi" w:hAnsiTheme="majorHAnsi"/>
          <w:b/>
          <w:bCs/>
          <w:color w:val="4F81BD" w:themeColor="accent1"/>
        </w:rPr>
        <w:t>skills</w:t>
      </w:r>
      <w:r w:rsidRPr="00CE61EB">
        <w:rPr>
          <w:color w:val="4F81BD" w:themeColor="accent1"/>
          <w:spacing w:val="80"/>
          <w:w w:val="150"/>
        </w:rPr>
        <w:t xml:space="preserve"> </w:t>
      </w:r>
      <w:r>
        <w:rPr>
          <w:color w:val="3E3938"/>
        </w:rPr>
        <w:t>–</w:t>
      </w:r>
      <w:r>
        <w:rPr>
          <w:color w:val="3E3938"/>
          <w:spacing w:val="40"/>
        </w:rPr>
        <w:t xml:space="preserve"> </w:t>
      </w:r>
      <w:r>
        <w:rPr>
          <w:color w:val="3E3938"/>
        </w:rPr>
        <w:t>Appreciable event management skills derived by organizing and mentoring several events both: as a student and as a professional.</w:t>
      </w:r>
    </w:p>
    <w:p w:rsidR="00CE61EB" w:rsidRDefault="00CE61EB"/>
    <w:p w:rsidR="00CE61EB" w:rsidRDefault="00CE61EB" w:rsidP="00CE61EB">
      <w:pPr>
        <w:pStyle w:val="BodyText"/>
        <w:tabs>
          <w:tab w:val="left" w:pos="5802"/>
        </w:tabs>
        <w:spacing w:before="57" w:after="59"/>
        <w:ind w:left="1128"/>
        <w:jc w:val="both"/>
      </w:pPr>
      <w:r>
        <w:rPr>
          <w:color w:val="0D4093"/>
        </w:rPr>
        <w:t>Digital</w:t>
      </w:r>
      <w:r>
        <w:rPr>
          <w:color w:val="0D4093"/>
          <w:spacing w:val="-8"/>
        </w:rPr>
        <w:t xml:space="preserve"> </w:t>
      </w:r>
      <w:r>
        <w:rPr>
          <w:color w:val="0D4093"/>
          <w:spacing w:val="-2"/>
        </w:rPr>
        <w:t>competences</w:t>
      </w:r>
      <w:r>
        <w:rPr>
          <w:color w:val="0D4093"/>
        </w:rPr>
        <w:tab/>
      </w:r>
      <w:r>
        <w:rPr>
          <w:color w:val="0D4093"/>
          <w:w w:val="95"/>
        </w:rPr>
        <w:t>SELF-</w:t>
      </w:r>
      <w:r>
        <w:rPr>
          <w:color w:val="0D4093"/>
          <w:spacing w:val="-2"/>
        </w:rPr>
        <w:t>ASSESSMENT</w:t>
      </w:r>
    </w:p>
    <w:tbl>
      <w:tblPr>
        <w:tblW w:w="7452" w:type="dxa"/>
        <w:tblInd w:w="600" w:type="dxa"/>
        <w:tblBorders>
          <w:top w:val="single" w:sz="12" w:space="0" w:color="C5C5C5"/>
          <w:left w:val="single" w:sz="12" w:space="0" w:color="C5C5C5"/>
          <w:bottom w:val="single" w:sz="12" w:space="0" w:color="C5C5C5"/>
          <w:right w:val="single" w:sz="12" w:space="0" w:color="C5C5C5"/>
          <w:insideH w:val="single" w:sz="12" w:space="0" w:color="C5C5C5"/>
          <w:insideV w:val="single" w:sz="12" w:space="0" w:color="C5C5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2"/>
        <w:gridCol w:w="1496"/>
        <w:gridCol w:w="1496"/>
        <w:gridCol w:w="1496"/>
        <w:gridCol w:w="1482"/>
      </w:tblGrid>
      <w:tr w:rsidR="00CE61EB" w:rsidTr="00FB120C">
        <w:trPr>
          <w:trHeight w:val="536"/>
        </w:trPr>
        <w:tc>
          <w:tcPr>
            <w:tcW w:w="1482" w:type="dxa"/>
            <w:tcBorders>
              <w:left w:val="nil"/>
            </w:tcBorders>
          </w:tcPr>
          <w:p w:rsidR="00CE61EB" w:rsidRDefault="00CE61EB" w:rsidP="00FB120C">
            <w:pPr>
              <w:pStyle w:val="TableParagraph"/>
              <w:spacing w:line="249" w:lineRule="auto"/>
              <w:ind w:left="275" w:hanging="5"/>
              <w:jc w:val="both"/>
              <w:rPr>
                <w:sz w:val="18"/>
              </w:rPr>
            </w:pPr>
            <w:r>
              <w:rPr>
                <w:color w:val="0D4093"/>
                <w:spacing w:val="-2"/>
                <w:sz w:val="18"/>
              </w:rPr>
              <w:t>Information Processing</w:t>
            </w:r>
          </w:p>
        </w:tc>
        <w:tc>
          <w:tcPr>
            <w:tcW w:w="1496" w:type="dxa"/>
          </w:tcPr>
          <w:p w:rsidR="00CE61EB" w:rsidRDefault="00CE61EB" w:rsidP="00FB120C">
            <w:pPr>
              <w:pStyle w:val="TableParagraph"/>
              <w:spacing w:before="164"/>
              <w:ind w:left="26" w:right="25"/>
              <w:jc w:val="both"/>
              <w:rPr>
                <w:sz w:val="18"/>
              </w:rPr>
            </w:pPr>
            <w:r>
              <w:rPr>
                <w:color w:val="0D4093"/>
                <w:spacing w:val="-2"/>
                <w:sz w:val="18"/>
              </w:rPr>
              <w:t>Communication</w:t>
            </w:r>
          </w:p>
        </w:tc>
        <w:tc>
          <w:tcPr>
            <w:tcW w:w="1496" w:type="dxa"/>
          </w:tcPr>
          <w:p w:rsidR="00CE61EB" w:rsidRDefault="00CE61EB" w:rsidP="00FB120C">
            <w:pPr>
              <w:pStyle w:val="TableParagraph"/>
              <w:spacing w:before="164"/>
              <w:ind w:left="27" w:right="25"/>
              <w:jc w:val="both"/>
              <w:rPr>
                <w:sz w:val="18"/>
              </w:rPr>
            </w:pPr>
            <w:r>
              <w:rPr>
                <w:color w:val="0D4093"/>
                <w:sz w:val="18"/>
              </w:rPr>
              <w:t>Content</w:t>
            </w:r>
            <w:r>
              <w:rPr>
                <w:color w:val="0D4093"/>
                <w:spacing w:val="-8"/>
                <w:sz w:val="18"/>
              </w:rPr>
              <w:t xml:space="preserve"> </w:t>
            </w:r>
            <w:r>
              <w:rPr>
                <w:color w:val="0D4093"/>
                <w:spacing w:val="-2"/>
                <w:sz w:val="18"/>
              </w:rPr>
              <w:t>creation</w:t>
            </w:r>
          </w:p>
        </w:tc>
        <w:tc>
          <w:tcPr>
            <w:tcW w:w="1496" w:type="dxa"/>
          </w:tcPr>
          <w:p w:rsidR="00CE61EB" w:rsidRDefault="00CE61EB" w:rsidP="00FB120C">
            <w:pPr>
              <w:pStyle w:val="TableParagraph"/>
              <w:spacing w:before="164"/>
              <w:ind w:left="27" w:right="24"/>
              <w:jc w:val="both"/>
              <w:rPr>
                <w:sz w:val="18"/>
              </w:rPr>
            </w:pPr>
            <w:r>
              <w:rPr>
                <w:color w:val="0D4093"/>
                <w:spacing w:val="-2"/>
                <w:sz w:val="18"/>
              </w:rPr>
              <w:t>Safety</w:t>
            </w:r>
          </w:p>
        </w:tc>
        <w:tc>
          <w:tcPr>
            <w:tcW w:w="1482" w:type="dxa"/>
            <w:tcBorders>
              <w:right w:val="nil"/>
            </w:tcBorders>
          </w:tcPr>
          <w:p w:rsidR="00CE61EB" w:rsidRDefault="00CE61EB" w:rsidP="00FB120C">
            <w:pPr>
              <w:pStyle w:val="TableParagraph"/>
              <w:spacing w:before="164"/>
              <w:ind w:left="99"/>
              <w:jc w:val="both"/>
              <w:rPr>
                <w:sz w:val="18"/>
              </w:rPr>
            </w:pPr>
            <w:r>
              <w:rPr>
                <w:color w:val="0D4093"/>
                <w:sz w:val="18"/>
              </w:rPr>
              <w:t>Problem</w:t>
            </w:r>
            <w:r>
              <w:rPr>
                <w:color w:val="0D4093"/>
                <w:spacing w:val="-12"/>
                <w:sz w:val="18"/>
              </w:rPr>
              <w:t xml:space="preserve"> </w:t>
            </w:r>
            <w:r>
              <w:rPr>
                <w:color w:val="0D4093"/>
                <w:spacing w:val="-2"/>
                <w:sz w:val="18"/>
              </w:rPr>
              <w:t>solving</w:t>
            </w:r>
          </w:p>
        </w:tc>
      </w:tr>
      <w:tr w:rsidR="00CE61EB" w:rsidTr="00FB120C">
        <w:trPr>
          <w:trHeight w:val="321"/>
        </w:trPr>
        <w:tc>
          <w:tcPr>
            <w:tcW w:w="1482" w:type="dxa"/>
            <w:tcBorders>
              <w:left w:val="nil"/>
            </w:tcBorders>
          </w:tcPr>
          <w:p w:rsidR="00CE61EB" w:rsidRDefault="00CE61EB" w:rsidP="00FB120C">
            <w:pPr>
              <w:pStyle w:val="TableParagraph"/>
              <w:ind w:left="21"/>
              <w:jc w:val="both"/>
              <w:rPr>
                <w:sz w:val="18"/>
              </w:rPr>
            </w:pPr>
            <w:r>
              <w:rPr>
                <w:color w:val="3E3938"/>
                <w:sz w:val="18"/>
              </w:rPr>
              <w:t>Independent</w:t>
            </w:r>
            <w:r>
              <w:rPr>
                <w:color w:val="3E3938"/>
                <w:spacing w:val="-13"/>
                <w:sz w:val="18"/>
              </w:rPr>
              <w:t xml:space="preserve"> </w:t>
            </w:r>
            <w:r>
              <w:rPr>
                <w:color w:val="3E3938"/>
                <w:spacing w:val="-4"/>
                <w:sz w:val="18"/>
              </w:rPr>
              <w:t>user</w:t>
            </w:r>
          </w:p>
        </w:tc>
        <w:tc>
          <w:tcPr>
            <w:tcW w:w="1496" w:type="dxa"/>
          </w:tcPr>
          <w:p w:rsidR="00CE61EB" w:rsidRDefault="00CE61EB" w:rsidP="00FB120C">
            <w:pPr>
              <w:pStyle w:val="TableParagraph"/>
              <w:ind w:left="26" w:right="25"/>
              <w:jc w:val="both"/>
              <w:rPr>
                <w:sz w:val="18"/>
              </w:rPr>
            </w:pPr>
            <w:r>
              <w:rPr>
                <w:color w:val="3E3938"/>
                <w:sz w:val="18"/>
              </w:rPr>
              <w:t>Independent</w:t>
            </w:r>
            <w:r>
              <w:rPr>
                <w:color w:val="3E3938"/>
                <w:spacing w:val="-13"/>
                <w:sz w:val="18"/>
              </w:rPr>
              <w:t xml:space="preserve"> </w:t>
            </w:r>
            <w:r>
              <w:rPr>
                <w:color w:val="3E3938"/>
                <w:spacing w:val="-4"/>
                <w:sz w:val="18"/>
              </w:rPr>
              <w:t>user</w:t>
            </w:r>
          </w:p>
        </w:tc>
        <w:tc>
          <w:tcPr>
            <w:tcW w:w="1496" w:type="dxa"/>
          </w:tcPr>
          <w:p w:rsidR="00CE61EB" w:rsidRDefault="00CE61EB" w:rsidP="00FB120C">
            <w:pPr>
              <w:pStyle w:val="TableParagraph"/>
              <w:ind w:left="27" w:right="25"/>
              <w:jc w:val="both"/>
              <w:rPr>
                <w:sz w:val="18"/>
              </w:rPr>
            </w:pPr>
            <w:r>
              <w:rPr>
                <w:color w:val="3E3938"/>
                <w:sz w:val="18"/>
              </w:rPr>
              <w:t>Basic</w:t>
            </w:r>
            <w:r>
              <w:rPr>
                <w:color w:val="3E3938"/>
                <w:spacing w:val="-6"/>
                <w:sz w:val="18"/>
              </w:rPr>
              <w:t xml:space="preserve"> </w:t>
            </w:r>
            <w:r>
              <w:rPr>
                <w:color w:val="3E3938"/>
                <w:spacing w:val="-4"/>
                <w:sz w:val="18"/>
              </w:rPr>
              <w:t>user</w:t>
            </w:r>
          </w:p>
        </w:tc>
        <w:tc>
          <w:tcPr>
            <w:tcW w:w="1496" w:type="dxa"/>
          </w:tcPr>
          <w:p w:rsidR="00CE61EB" w:rsidRDefault="00CE61EB" w:rsidP="00FB120C">
            <w:pPr>
              <w:pStyle w:val="TableParagraph"/>
              <w:ind w:left="27" w:right="24"/>
              <w:jc w:val="both"/>
              <w:rPr>
                <w:sz w:val="18"/>
              </w:rPr>
            </w:pPr>
            <w:r>
              <w:rPr>
                <w:color w:val="3E3938"/>
                <w:sz w:val="18"/>
              </w:rPr>
              <w:t>Independent</w:t>
            </w:r>
            <w:r>
              <w:rPr>
                <w:color w:val="3E3938"/>
                <w:spacing w:val="-13"/>
                <w:sz w:val="18"/>
              </w:rPr>
              <w:t xml:space="preserve"> </w:t>
            </w:r>
            <w:r>
              <w:rPr>
                <w:color w:val="3E3938"/>
                <w:spacing w:val="-4"/>
                <w:sz w:val="18"/>
              </w:rPr>
              <w:t>user</w:t>
            </w:r>
          </w:p>
        </w:tc>
        <w:tc>
          <w:tcPr>
            <w:tcW w:w="1482" w:type="dxa"/>
            <w:tcBorders>
              <w:right w:val="nil"/>
            </w:tcBorders>
          </w:tcPr>
          <w:p w:rsidR="00CE61EB" w:rsidRDefault="00CE61EB" w:rsidP="00FB120C">
            <w:pPr>
              <w:pStyle w:val="TableParagraph"/>
              <w:ind w:left="37"/>
              <w:jc w:val="both"/>
              <w:rPr>
                <w:sz w:val="18"/>
              </w:rPr>
            </w:pPr>
            <w:r>
              <w:rPr>
                <w:color w:val="3E3938"/>
                <w:sz w:val="18"/>
              </w:rPr>
              <w:t>Independent</w:t>
            </w:r>
            <w:r>
              <w:rPr>
                <w:color w:val="3E3938"/>
                <w:spacing w:val="-13"/>
                <w:sz w:val="18"/>
              </w:rPr>
              <w:t xml:space="preserve"> </w:t>
            </w:r>
            <w:r>
              <w:rPr>
                <w:color w:val="3E3938"/>
                <w:spacing w:val="-4"/>
                <w:sz w:val="18"/>
              </w:rPr>
              <w:t>user</w:t>
            </w:r>
          </w:p>
        </w:tc>
      </w:tr>
    </w:tbl>
    <w:p w:rsidR="00CE61EB" w:rsidRDefault="00CE61EB" w:rsidP="00CE61EB">
      <w:pPr>
        <w:spacing w:before="18"/>
        <w:ind w:left="2942"/>
        <w:jc w:val="both"/>
        <w:rPr>
          <w:sz w:val="16"/>
        </w:rPr>
      </w:pPr>
      <w:hyperlink r:id="rId9">
        <w:r>
          <w:rPr>
            <w:color w:val="00007F"/>
            <w:sz w:val="16"/>
            <w:u w:val="single" w:color="00007F"/>
          </w:rPr>
          <w:t>Digital</w:t>
        </w:r>
        <w:r>
          <w:rPr>
            <w:color w:val="00007F"/>
            <w:spacing w:val="-8"/>
            <w:sz w:val="16"/>
            <w:u w:val="single" w:color="00007F"/>
          </w:rPr>
          <w:t xml:space="preserve"> </w:t>
        </w:r>
        <w:r>
          <w:rPr>
            <w:color w:val="00007F"/>
            <w:sz w:val="16"/>
            <w:u w:val="single" w:color="00007F"/>
          </w:rPr>
          <w:t>competences</w:t>
        </w:r>
        <w:r>
          <w:rPr>
            <w:color w:val="00007F"/>
            <w:spacing w:val="-8"/>
            <w:sz w:val="16"/>
            <w:u w:val="single" w:color="00007F"/>
          </w:rPr>
          <w:t xml:space="preserve"> </w:t>
        </w:r>
        <w:r>
          <w:rPr>
            <w:color w:val="00007F"/>
            <w:sz w:val="16"/>
            <w:u w:val="single" w:color="00007F"/>
          </w:rPr>
          <w:t>-</w:t>
        </w:r>
        <w:r>
          <w:rPr>
            <w:color w:val="00007F"/>
            <w:spacing w:val="-7"/>
            <w:sz w:val="16"/>
            <w:u w:val="single" w:color="00007F"/>
          </w:rPr>
          <w:t xml:space="preserve"> </w:t>
        </w:r>
        <w:r>
          <w:rPr>
            <w:color w:val="00007F"/>
            <w:sz w:val="16"/>
            <w:u w:val="single" w:color="00007F"/>
          </w:rPr>
          <w:t>Self-assessment</w:t>
        </w:r>
        <w:r>
          <w:rPr>
            <w:color w:val="00007F"/>
            <w:spacing w:val="-8"/>
            <w:sz w:val="16"/>
            <w:u w:val="single" w:color="00007F"/>
          </w:rPr>
          <w:t xml:space="preserve"> </w:t>
        </w:r>
        <w:r>
          <w:rPr>
            <w:color w:val="00007F"/>
            <w:spacing w:val="-4"/>
            <w:sz w:val="16"/>
            <w:u w:val="single" w:color="00007F"/>
          </w:rPr>
          <w:t>grid</w:t>
        </w:r>
      </w:hyperlink>
    </w:p>
    <w:p w:rsidR="006B2B63" w:rsidRDefault="00500F82">
      <w:r>
        <w:t>Digital Skills: SPSS, Microsoft Office Suite</w:t>
      </w:r>
    </w:p>
    <w:p w:rsidR="006B2B63" w:rsidRDefault="00500F82">
      <w:pPr>
        <w:pStyle w:val="Heading1"/>
      </w:pPr>
      <w:r>
        <w:t>Publications</w:t>
      </w:r>
    </w:p>
    <w:p w:rsidR="006B2B63" w:rsidRPr="00CE61EB" w:rsidRDefault="00500F82">
      <w:pPr>
        <w:rPr>
          <w:i/>
          <w:iCs/>
        </w:rPr>
      </w:pPr>
      <w:r>
        <w:t xml:space="preserve">M. Shah, 'Ethics in Political Theology with Deontology as the Main Focus,' </w:t>
      </w:r>
      <w:r w:rsidRPr="00CE61EB">
        <w:rPr>
          <w:i/>
          <w:iCs/>
        </w:rPr>
        <w:t xml:space="preserve">8th UDEF International Student </w:t>
      </w:r>
      <w:r w:rsidRPr="00CE61EB">
        <w:rPr>
          <w:i/>
          <w:iCs/>
        </w:rPr>
        <w:t>Symposium, 2022. [Accepted]</w:t>
      </w:r>
    </w:p>
    <w:p w:rsidR="006B2B63" w:rsidRPr="00CE61EB" w:rsidRDefault="00500F82">
      <w:pPr>
        <w:rPr>
          <w:i/>
          <w:iCs/>
        </w:rPr>
      </w:pPr>
      <w:r>
        <w:t xml:space="preserve">M. Shah, 'Discussion on the Similarities and Differences between Early Writers and the Reformers within the Scope of Political Theology,' </w:t>
      </w:r>
      <w:r w:rsidRPr="00CE61EB">
        <w:rPr>
          <w:i/>
          <w:iCs/>
        </w:rPr>
        <w:t>7th UDEF International Student Symposium, 2021. (Published)</w:t>
      </w:r>
    </w:p>
    <w:p w:rsidR="006B2B63" w:rsidRDefault="00500F82">
      <w:pPr>
        <w:pStyle w:val="Heading1"/>
      </w:pPr>
      <w:r>
        <w:lastRenderedPageBreak/>
        <w:t>References</w:t>
      </w:r>
    </w:p>
    <w:p w:rsidR="006B2B63" w:rsidRDefault="00500F82" w:rsidP="00CE61EB">
      <w:pPr>
        <w:pStyle w:val="BodyText"/>
        <w:spacing w:before="1"/>
        <w:jc w:val="both"/>
      </w:pPr>
      <w:r w:rsidRPr="00CE61EB">
        <w:rPr>
          <w:b/>
          <w:bCs/>
        </w:rPr>
        <w:t>Dr. Saima Kayani</w:t>
      </w:r>
      <w:r>
        <w:t xml:space="preserve"> — </w:t>
      </w:r>
      <w:r>
        <w:t xml:space="preserve">Head of Department, Department of International Relations and Political Science, Fatima Jinnah Woman University, Rawalpindi, Pakistan | Email: </w:t>
      </w:r>
      <w:hyperlink r:id="rId10" w:history="1">
        <w:r w:rsidR="00CE61EB" w:rsidRPr="00DF237A">
          <w:rPr>
            <w:rStyle w:val="Hyperlink"/>
            <w:spacing w:val="5"/>
          </w:rPr>
          <w:t>saima.kayani@fjwu.edu.pk</w:t>
        </w:r>
      </w:hyperlink>
      <w:r w:rsidR="00CE61EB">
        <w:rPr>
          <w:rStyle w:val="Hyperlink"/>
          <w:b/>
          <w:spacing w:val="5"/>
        </w:rPr>
        <w:t xml:space="preserve"> </w:t>
      </w:r>
      <w:r>
        <w:t>| Contact: +92 332 5476694</w:t>
      </w:r>
    </w:p>
    <w:p w:rsidR="00CE61EB" w:rsidRPr="00CE61EB" w:rsidRDefault="00CE61EB" w:rsidP="00CE61EB">
      <w:pPr>
        <w:pStyle w:val="BodyText"/>
        <w:spacing w:before="1"/>
        <w:jc w:val="both"/>
        <w:rPr>
          <w:b/>
          <w:color w:val="3E3938"/>
          <w:spacing w:val="5"/>
        </w:rPr>
      </w:pPr>
    </w:p>
    <w:p w:rsidR="006B2B63" w:rsidRDefault="00500F82" w:rsidP="00CE61EB">
      <w:pPr>
        <w:pStyle w:val="BodyText"/>
        <w:spacing w:before="1"/>
        <w:jc w:val="both"/>
      </w:pPr>
      <w:r w:rsidRPr="00CE61EB">
        <w:rPr>
          <w:b/>
          <w:bCs/>
        </w:rPr>
        <w:t>Maria Khan</w:t>
      </w:r>
      <w:r>
        <w:t xml:space="preserve"> — Department Coordinator and Lecturer, Department </w:t>
      </w:r>
      <w:r>
        <w:t xml:space="preserve">of IR and Education Department, Fatima Jinnah Woman University, Rawalpindi, Pakistan | Email: </w:t>
      </w:r>
      <w:hyperlink r:id="rId11" w:history="1">
        <w:r w:rsidR="00CE61EB" w:rsidRPr="00DF237A">
          <w:rPr>
            <w:rStyle w:val="Hyperlink"/>
            <w:spacing w:val="5"/>
          </w:rPr>
          <w:t>mkhan@fjwu.edu.pk</w:t>
        </w:r>
      </w:hyperlink>
      <w:r w:rsidR="00CE61EB">
        <w:rPr>
          <w:rStyle w:val="Hyperlink"/>
          <w:b/>
          <w:spacing w:val="5"/>
        </w:rPr>
        <w:t xml:space="preserve"> </w:t>
      </w:r>
      <w:r>
        <w:t>| Contact: +92 331 5403306</w:t>
      </w:r>
    </w:p>
    <w:p w:rsidR="00CE61EB" w:rsidRDefault="00CE61EB" w:rsidP="00CE61EB">
      <w:pPr>
        <w:pStyle w:val="BodyText"/>
        <w:spacing w:before="1"/>
        <w:jc w:val="both"/>
      </w:pPr>
    </w:p>
    <w:p w:rsidR="00CE61EB" w:rsidRDefault="00CE61EB" w:rsidP="00CE61EB">
      <w:pPr>
        <w:pStyle w:val="BodyText"/>
        <w:spacing w:before="1"/>
        <w:jc w:val="both"/>
      </w:pPr>
    </w:p>
    <w:p w:rsidR="00CE61EB" w:rsidRPr="00CE61EB" w:rsidRDefault="00CE61EB" w:rsidP="00CE61EB">
      <w:pPr>
        <w:pStyle w:val="BodyText"/>
        <w:spacing w:before="1"/>
        <w:jc w:val="both"/>
        <w:rPr>
          <w:b/>
          <w:color w:val="3E3938"/>
          <w:spacing w:val="5"/>
        </w:rPr>
      </w:pPr>
    </w:p>
    <w:sectPr w:rsidR="00CE61EB" w:rsidRPr="00CE61EB" w:rsidSect="00034616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F82" w:rsidRDefault="00500F82" w:rsidP="006B0151">
      <w:pPr>
        <w:spacing w:after="0" w:line="240" w:lineRule="auto"/>
      </w:pPr>
      <w:r>
        <w:separator/>
      </w:r>
    </w:p>
  </w:endnote>
  <w:endnote w:type="continuationSeparator" w:id="0">
    <w:p w:rsidR="00500F82" w:rsidRDefault="00500F82" w:rsidP="006B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4932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B0151" w:rsidRDefault="006B0151">
            <w:pPr>
              <w:pStyle w:val="Footer"/>
              <w:jc w:val="right"/>
            </w:pPr>
          </w:p>
          <w:p w:rsidR="006B0151" w:rsidRDefault="006B015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B0151" w:rsidRDefault="006B0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F82" w:rsidRDefault="00500F82" w:rsidP="006B0151">
      <w:pPr>
        <w:spacing w:after="0" w:line="240" w:lineRule="auto"/>
      </w:pPr>
      <w:r>
        <w:separator/>
      </w:r>
    </w:p>
  </w:footnote>
  <w:footnote w:type="continuationSeparator" w:id="0">
    <w:p w:rsidR="00500F82" w:rsidRDefault="00500F82" w:rsidP="006B0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160551"/>
    <w:multiLevelType w:val="hybridMultilevel"/>
    <w:tmpl w:val="4E58E5FC"/>
    <w:lvl w:ilvl="0" w:tplc="A0323E08">
      <w:numFmt w:val="bullet"/>
      <w:lvlText w:val="–"/>
      <w:lvlJc w:val="left"/>
      <w:pPr>
        <w:ind w:left="290" w:hanging="200"/>
      </w:pPr>
      <w:rPr>
        <w:rFonts w:ascii="Arial" w:eastAsia="Arial" w:hAnsi="Arial" w:cs="Arial" w:hint="default"/>
        <w:b w:val="0"/>
        <w:bCs w:val="0"/>
        <w:i w:val="0"/>
        <w:iCs w:val="0"/>
        <w:color w:val="3E3938"/>
        <w:w w:val="99"/>
        <w:sz w:val="18"/>
        <w:szCs w:val="18"/>
        <w:lang w:val="en-US" w:eastAsia="en-US" w:bidi="ar-SA"/>
      </w:rPr>
    </w:lvl>
    <w:lvl w:ilvl="1" w:tplc="0E564CC4">
      <w:numFmt w:val="bullet"/>
      <w:lvlText w:val="–"/>
      <w:lvlJc w:val="left"/>
      <w:pPr>
        <w:ind w:left="3141" w:hanging="200"/>
      </w:pPr>
      <w:rPr>
        <w:rFonts w:ascii="Arial" w:eastAsia="Arial" w:hAnsi="Arial" w:cs="Arial" w:hint="default"/>
        <w:b w:val="0"/>
        <w:bCs w:val="0"/>
        <w:i w:val="0"/>
        <w:iCs w:val="0"/>
        <w:color w:val="3E3938"/>
        <w:w w:val="99"/>
        <w:sz w:val="18"/>
        <w:szCs w:val="18"/>
        <w:lang w:val="en-US" w:eastAsia="en-US" w:bidi="ar-SA"/>
      </w:rPr>
    </w:lvl>
    <w:lvl w:ilvl="2" w:tplc="4AFC1056">
      <w:numFmt w:val="bullet"/>
      <w:lvlText w:val="•"/>
      <w:lvlJc w:val="left"/>
      <w:pPr>
        <w:ind w:left="3646" w:hanging="200"/>
      </w:pPr>
      <w:rPr>
        <w:rFonts w:hint="default"/>
        <w:lang w:val="en-US" w:eastAsia="en-US" w:bidi="ar-SA"/>
      </w:rPr>
    </w:lvl>
    <w:lvl w:ilvl="3" w:tplc="0C5438FE">
      <w:numFmt w:val="bullet"/>
      <w:lvlText w:val="•"/>
      <w:lvlJc w:val="left"/>
      <w:pPr>
        <w:ind w:left="4152" w:hanging="200"/>
      </w:pPr>
      <w:rPr>
        <w:rFonts w:hint="default"/>
        <w:lang w:val="en-US" w:eastAsia="en-US" w:bidi="ar-SA"/>
      </w:rPr>
    </w:lvl>
    <w:lvl w:ilvl="4" w:tplc="BA2CD716">
      <w:numFmt w:val="bullet"/>
      <w:lvlText w:val="•"/>
      <w:lvlJc w:val="left"/>
      <w:pPr>
        <w:ind w:left="4658" w:hanging="200"/>
      </w:pPr>
      <w:rPr>
        <w:rFonts w:hint="default"/>
        <w:lang w:val="en-US" w:eastAsia="en-US" w:bidi="ar-SA"/>
      </w:rPr>
    </w:lvl>
    <w:lvl w:ilvl="5" w:tplc="210295AA">
      <w:numFmt w:val="bullet"/>
      <w:lvlText w:val="•"/>
      <w:lvlJc w:val="left"/>
      <w:pPr>
        <w:ind w:left="5164" w:hanging="200"/>
      </w:pPr>
      <w:rPr>
        <w:rFonts w:hint="default"/>
        <w:lang w:val="en-US" w:eastAsia="en-US" w:bidi="ar-SA"/>
      </w:rPr>
    </w:lvl>
    <w:lvl w:ilvl="6" w:tplc="35D6BD58">
      <w:numFmt w:val="bullet"/>
      <w:lvlText w:val="•"/>
      <w:lvlJc w:val="left"/>
      <w:pPr>
        <w:ind w:left="5670" w:hanging="200"/>
      </w:pPr>
      <w:rPr>
        <w:rFonts w:hint="default"/>
        <w:lang w:val="en-US" w:eastAsia="en-US" w:bidi="ar-SA"/>
      </w:rPr>
    </w:lvl>
    <w:lvl w:ilvl="7" w:tplc="60F2C03C">
      <w:numFmt w:val="bullet"/>
      <w:lvlText w:val="•"/>
      <w:lvlJc w:val="left"/>
      <w:pPr>
        <w:ind w:left="6176" w:hanging="200"/>
      </w:pPr>
      <w:rPr>
        <w:rFonts w:hint="default"/>
        <w:lang w:val="en-US" w:eastAsia="en-US" w:bidi="ar-SA"/>
      </w:rPr>
    </w:lvl>
    <w:lvl w:ilvl="8" w:tplc="2E025634">
      <w:numFmt w:val="bullet"/>
      <w:lvlText w:val="•"/>
      <w:lvlJc w:val="left"/>
      <w:pPr>
        <w:ind w:left="6682" w:hanging="20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0F82"/>
    <w:rsid w:val="006B0151"/>
    <w:rsid w:val="006B2B63"/>
    <w:rsid w:val="00AA1D8D"/>
    <w:rsid w:val="00B47730"/>
    <w:rsid w:val="00CB0664"/>
    <w:rsid w:val="00CE61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3F07F0"/>
  <w14:defaultImageDpi w14:val="300"/>
  <w15:docId w15:val="{D8EC171B-9D64-4F47-98FD-1855A35B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E61EB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E61EB"/>
    <w:pPr>
      <w:widowControl w:val="0"/>
      <w:autoSpaceDE w:val="0"/>
      <w:autoSpaceDN w:val="0"/>
      <w:spacing w:before="56" w:after="0" w:line="240" w:lineRule="auto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en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han@fjwu.edu.p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ima.kayani@fjwu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opass.cedefop.europa.eu/en/resources/digital-competen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86503F-4A46-42F4-A939-00A635DE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cp:lastPrinted>2025-08-12T11:44:00Z</cp:lastPrinted>
  <dcterms:created xsi:type="dcterms:W3CDTF">2025-08-12T11:45:00Z</dcterms:created>
  <dcterms:modified xsi:type="dcterms:W3CDTF">2025-08-12T11:45:00Z</dcterms:modified>
  <cp:category/>
</cp:coreProperties>
</file>