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bottom w:w="0" w:type="dxa"/>
        </w:tblCellMar>
        <w:tblLook w:val="0000" w:firstRow="0" w:lastRow="0" w:firstColumn="0" w:lastColumn="0" w:noHBand="0" w:noVBand="0"/>
      </w:tblPr>
      <w:tblGrid>
        <w:gridCol w:w="6400"/>
        <w:gridCol w:w="3100"/>
      </w:tblGrid>
      <w:tr w14:paraId="E956E2A7">
        <w:trPr/>
        <w:tc>
          <w:tcPr>
            <w:tcW w:w="6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3399"/>
            <w:tcMar>
              <w:top w:w="180" w:type="dxa"/>
              <w:left w:w="220" w:type="dxa"/>
              <w:bottom w:w="180" w:type="dxa"/>
              <w:right w:w="200" w:type="dxa"/>
            </w:tcMar>
            <w:vAlign w:val="center"/>
          </w:tcPr>
          <w:p w14:paraId="8E229B6A">
            <w:pPr>
              <w:pStyle w:val="style0"/>
              <w:rPr/>
            </w:pPr>
            <w:r>
              <w:rPr>
                <w:b/>
                <w:bCs/>
                <w:color w:val="ffffff"/>
                <w:sz w:val="36"/>
                <w:szCs w:val="36"/>
              </w:rPr>
              <w:t>Syeda</w:t>
            </w:r>
            <w:r>
              <w:rPr>
                <w:b/>
                <w:bCs/>
                <w:color w:val="ffffff"/>
                <w:sz w:val="36"/>
                <w:szCs w:val="36"/>
              </w:rPr>
              <w:t xml:space="preserve"> Maria Mehmood</w:t>
            </w:r>
            <w:bookmarkStart w:id="0" w:name="_GoBack"/>
            <w:bookmarkEnd w:id="0"/>
          </w:p>
        </w:tc>
        <w:tc>
          <w:tcPr>
            <w:tcW w:w="3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2fa"/>
            <w:tcMar>
              <w:top w:w="120" w:type="dxa"/>
              <w:left w:w="180" w:type="dxa"/>
              <w:bottom w:w="120" w:type="dxa"/>
              <w:right w:w="120" w:type="dxa"/>
            </w:tcMar>
            <w:vAlign w:val="center"/>
          </w:tcPr>
          <w:p w14:paraId="E441D5FB">
            <w:pPr>
              <w:pStyle w:val="style0"/>
              <w:spacing w:after="30"/>
              <w:rPr/>
            </w:pPr>
            <w:r>
              <w:rPr>
                <w:color w:val="555555"/>
                <w:sz w:val="17"/>
                <w:szCs w:val="17"/>
              </w:rPr>
              <w:t>Rawalpindi, Pakistan</w:t>
            </w:r>
          </w:p>
          <w:p w14:paraId="48619425">
            <w:pPr>
              <w:pStyle w:val="style0"/>
              <w:spacing w:after="30"/>
              <w:rPr/>
            </w:pPr>
            <w:r>
              <w:rPr>
                <w:color w:val="555555"/>
                <w:sz w:val="17"/>
                <w:szCs w:val="17"/>
              </w:rPr>
              <w:t>+92 336 4462810  mariasyed.2410</w:t>
            </w:r>
            <w:r>
              <w:rPr>
                <w:color w:val="555555"/>
                <w:sz w:val="17"/>
                <w:szCs w:val="17"/>
              </w:rPr>
              <w:t>@gmail.com</w:t>
            </w:r>
          </w:p>
          <w:p w14:paraId="449476F9">
            <w:pPr>
              <w:pStyle w:val="style0"/>
              <w:rPr/>
            </w:pPr>
            <w:r>
              <w:rPr>
                <w:color w:val="555555"/>
                <w:sz w:val="17"/>
                <w:szCs w:val="17"/>
              </w:rPr>
              <w:t>English (C1)  |  Urdu (Native)</w:t>
            </w:r>
          </w:p>
        </w:tc>
      </w:tr>
    </w:tbl>
    <w:p w14:paraId="FD8D9DFB">
      <w:pPr>
        <w:pStyle w:val="style0"/>
        <w:spacing w:after="100"/>
        <w:rPr/>
      </w:pPr>
    </w:p>
    <w:p w14:paraId="C4F16C5A">
      <w:pPr>
        <w:pStyle w:val="style0"/>
        <w:spacing w:before="120" w:after="60"/>
        <w:rPr/>
      </w:pPr>
      <w:r>
        <w:rPr>
          <w:b/>
          <w:bCs/>
          <w:color w:val="003399"/>
          <w:sz w:val="19"/>
          <w:szCs w:val="19"/>
        </w:rPr>
        <w:t>PROFILE</w:t>
      </w:r>
    </w:p>
    <w:p w14:paraId="60186318">
      <w:pPr>
        <w:pStyle w:val="style0"/>
        <w:pBdr>
          <w:bottom w:val="single" w:sz="6" w:space="1" w:color="003399"/>
        </w:pBdr>
        <w:rPr/>
      </w:pPr>
    </w:p>
    <w:p w14:paraId="EC828727">
      <w:pPr>
        <w:pStyle w:val="style0"/>
        <w:rPr>
          <w:color w:val="555555"/>
          <w:sz w:val="17"/>
          <w:szCs w:val="17"/>
          <w:lang w:val="en-US"/>
        </w:rPr>
      </w:pPr>
    </w:p>
    <w:p w14:paraId="5637DD2D">
      <w:pPr>
        <w:pStyle w:val="style0"/>
        <w:rPr/>
      </w:pPr>
      <w:r>
        <w:rPr>
          <w:color w:val="555555"/>
          <w:sz w:val="17"/>
          <w:szCs w:val="17"/>
          <w:lang w:val="en-US"/>
        </w:rPr>
        <w:t>MPhil International Relations researcher with teaching and administrative experience, strong qualitative research, analytical writing, communication, and organizational skills. Specialist in geopolitical and security studies with a focus on China–Iran relations, missile proliferation, and Gulf regional security. Published in Stratheia Policy Journal. Experienced in academic coordination, record management, and administrative support.</w:t>
      </w:r>
    </w:p>
    <w:p w14:paraId="E6703F79">
      <w:pPr>
        <w:pStyle w:val="style0"/>
        <w:spacing w:after="80"/>
        <w:rPr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bottom w:w="0" w:type="dxa"/>
        </w:tblCellMar>
        <w:tblLook w:val="0000" w:firstRow="0" w:lastRow="0" w:firstColumn="0" w:lastColumn="0" w:noHBand="0" w:noVBand="0"/>
      </w:tblPr>
      <w:tblGrid>
        <w:gridCol w:w="6300"/>
        <w:gridCol w:w="3200"/>
      </w:tblGrid>
      <w:tr w14:paraId="A1D8C97F">
        <w:trPr/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928ADBC3">
            <w:pPr>
              <w:pStyle w:val="style0"/>
              <w:spacing w:before="120" w:after="60"/>
              <w:rPr/>
            </w:pPr>
            <w:r>
              <w:rPr>
                <w:b/>
                <w:bCs/>
                <w:color w:val="003399"/>
                <w:sz w:val="19"/>
                <w:szCs w:val="19"/>
              </w:rPr>
              <w:t>WORK EXPERIENCE</w:t>
            </w:r>
          </w:p>
          <w:p w14:paraId="964D30F2">
            <w:pPr>
              <w:pStyle w:val="style0"/>
              <w:pBdr>
                <w:bottom w:val="single" w:sz="6" w:space="1" w:color="003399"/>
              </w:pBdr>
              <w:rPr/>
            </w:pPr>
          </w:p>
          <w:p w14:paraId="3B851971">
            <w:pPr>
              <w:pStyle w:val="style0"/>
              <w:spacing w:before="80" w:after="20"/>
              <w:rPr/>
            </w:pPr>
            <w:r>
              <w:rPr>
                <w:b/>
                <w:bCs/>
              </w:rPr>
              <w:t>Teacher</w:t>
            </w:r>
            <w:r>
              <w:rPr>
                <w:color w:val="888888"/>
              </w:rPr>
              <w:t xml:space="preserve">  |  </w:t>
            </w:r>
            <w:r>
              <w:rPr>
                <w:color w:val="555555"/>
              </w:rPr>
              <w:t>SLS School, Rawalpindi</w:t>
            </w:r>
            <w:r>
              <w:rPr>
                <w:color w:val="888888"/>
                <w:sz w:val="17"/>
                <w:szCs w:val="17"/>
              </w:rPr>
              <w:t xml:space="preserve">  ·  202</w:t>
            </w:r>
            <w:r>
              <w:rPr>
                <w:color w:val="888888"/>
                <w:sz w:val="17"/>
                <w:szCs w:val="17"/>
                <w:lang w:val="en-US"/>
              </w:rPr>
              <w:t xml:space="preserve">4 </w:t>
            </w:r>
            <w:r>
              <w:rPr>
                <w:color w:val="888888"/>
                <w:sz w:val="17"/>
                <w:szCs w:val="17"/>
              </w:rPr>
              <w:t>– Present</w:t>
            </w:r>
          </w:p>
          <w:p w14:paraId="6CEA746A">
            <w:pPr>
              <w:pStyle w:val="style179"/>
              <w:numPr>
                <w:ilvl w:val="0"/>
                <w:numId w:val="1"/>
              </w:numPr>
              <w:spacing w:before="30" w:after="30"/>
              <w:rPr/>
            </w:pPr>
            <w:r>
              <w:rPr>
                <w:sz w:val="17"/>
                <w:szCs w:val="17"/>
              </w:rPr>
              <w:t>Designed lesson plans and delivered engaging secondary-level classes</w:t>
            </w:r>
          </w:p>
          <w:p w14:paraId="0086F0AA">
            <w:pPr>
              <w:pStyle w:val="style179"/>
              <w:numPr>
                <w:ilvl w:val="0"/>
                <w:numId w:val="1"/>
              </w:numPr>
              <w:spacing w:before="30" w:after="30"/>
              <w:rPr/>
            </w:pPr>
            <w:r>
              <w:rPr>
                <w:sz w:val="17"/>
                <w:szCs w:val="17"/>
              </w:rPr>
              <w:t>Conducted student assessments and provided academi</w:t>
            </w:r>
            <w:r>
              <w:rPr>
                <w:sz w:val="17"/>
                <w:szCs w:val="17"/>
              </w:rPr>
              <w:t>c mentoring</w:t>
            </w:r>
          </w:p>
          <w:p w14:paraId="89A1B8B5">
            <w:pPr>
              <w:pStyle w:val="style179"/>
              <w:numPr>
                <w:ilvl w:val="0"/>
                <w:numId w:val="1"/>
              </w:numPr>
              <w:spacing w:before="30" w:after="30"/>
              <w:rPr/>
            </w:pPr>
            <w:r>
              <w:rPr>
                <w:lang w:val="en-US"/>
              </w:rPr>
              <w:t>Provided administrative support by managing records, coordinating schedules, and assisting with daily school operations.</w:t>
            </w:r>
          </w:p>
          <w:p w14:paraId="A6806C92">
            <w:pPr>
              <w:pStyle w:val="style179"/>
              <w:numPr>
                <w:ilvl w:val="0"/>
                <w:numId w:val="1"/>
              </w:numPr>
              <w:spacing w:before="30" w:after="30"/>
              <w:rPr/>
            </w:pPr>
            <w:r>
              <w:rPr>
                <w:lang w:val="en-US"/>
              </w:rPr>
              <w:t>Managed examination operations, including invigilation coordination and result documentation.</w:t>
            </w:r>
          </w:p>
          <w:p w14:paraId="AC30D363">
            <w:pPr>
              <w:pStyle w:val="style0"/>
              <w:spacing w:before="80" w:after="20"/>
              <w:rPr/>
            </w:pPr>
            <w:r>
              <w:rPr>
                <w:b/>
                <w:bCs/>
                <w:lang w:val="en-US"/>
              </w:rPr>
              <w:t>Intership</w:t>
            </w:r>
            <w:r>
              <w:rPr>
                <w:color w:val="888888"/>
              </w:rPr>
              <w:t xml:space="preserve">  |  </w:t>
            </w:r>
            <w:r>
              <w:rPr>
                <w:color w:val="888888"/>
                <w:lang w:val="en-US"/>
              </w:rPr>
              <w:t>Centre for Law and Security,TMUC</w:t>
            </w:r>
            <w:r>
              <w:rPr>
                <w:color w:val="888888"/>
                <w:sz w:val="17"/>
                <w:szCs w:val="17"/>
              </w:rPr>
              <w:t xml:space="preserve">·  </w:t>
            </w:r>
            <w:r>
              <w:rPr>
                <w:color w:val="888888"/>
                <w:sz w:val="17"/>
                <w:szCs w:val="17"/>
                <w:lang w:val="en-US"/>
              </w:rPr>
              <w:t>2023-2024</w:t>
            </w:r>
          </w:p>
          <w:p w14:paraId="619FDF82">
            <w:pPr>
              <w:pStyle w:val="style179"/>
              <w:numPr>
                <w:ilvl w:val="0"/>
                <w:numId w:val="1"/>
              </w:numPr>
              <w:spacing w:before="30" w:after="30"/>
              <w:rPr/>
            </w:pPr>
            <w:r>
              <w:rPr>
                <w:lang w:val="en-US"/>
              </w:rPr>
              <w:t>Conducted legal and policy research on national and international security issues, supporting research projects and policy analysis.</w:t>
            </w:r>
          </w:p>
          <w:p w14:paraId="F36EC77D">
            <w:pPr>
              <w:pStyle w:val="style179"/>
              <w:numPr>
                <w:ilvl w:val="0"/>
                <w:numId w:val="1"/>
              </w:numPr>
              <w:spacing w:before="30" w:after="30"/>
              <w:rPr/>
            </w:pPr>
            <w:r>
              <w:rPr>
                <w:lang w:val="en-US"/>
              </w:rPr>
              <w:t>Assisted in organizing seminars, workshops, and academic events on legal and security topics.</w:t>
            </w:r>
          </w:p>
          <w:p w14:paraId="9D68B1C3">
            <w:pPr>
              <w:pStyle w:val="style0"/>
              <w:spacing w:before="80" w:after="20"/>
              <w:rPr/>
            </w:pPr>
            <w:r>
              <w:rPr>
                <w:b/>
                <w:bCs/>
              </w:rPr>
              <w:t>Primary Teacher</w:t>
            </w:r>
            <w:r>
              <w:rPr>
                <w:color w:val="888888"/>
              </w:rPr>
              <w:t xml:space="preserve">  |  </w:t>
            </w:r>
            <w:r>
              <w:rPr>
                <w:color w:val="555555"/>
              </w:rPr>
              <w:t xml:space="preserve">The Educators </w:t>
            </w:r>
            <w:r>
              <w:rPr>
                <w:color w:val="888888"/>
                <w:sz w:val="17"/>
                <w:szCs w:val="17"/>
              </w:rPr>
              <w:t xml:space="preserve">  ·  2018 – 2020</w:t>
            </w:r>
          </w:p>
          <w:p w14:paraId="2BD8AA85">
            <w:pPr>
              <w:pStyle w:val="style179"/>
              <w:numPr>
                <w:ilvl w:val="0"/>
                <w:numId w:val="1"/>
              </w:numPr>
              <w:spacing w:before="30" w:after="30"/>
              <w:rPr/>
            </w:pPr>
            <w:r>
              <w:rPr>
                <w:sz w:val="17"/>
                <w:szCs w:val="17"/>
              </w:rPr>
              <w:t>Delivered structured lessons supporting early literacy and numeracy</w:t>
            </w:r>
          </w:p>
          <w:p w14:paraId="C63FFAEA">
            <w:pPr>
              <w:pStyle w:val="style0"/>
              <w:spacing w:before="120" w:after="60"/>
              <w:rPr/>
            </w:pPr>
            <w:r>
              <w:rPr>
                <w:b/>
                <w:bCs/>
                <w:color w:val="003399"/>
                <w:sz w:val="19"/>
                <w:szCs w:val="19"/>
              </w:rPr>
              <w:t>EDUCATION</w:t>
            </w:r>
          </w:p>
          <w:p w14:paraId="E331203F">
            <w:pPr>
              <w:pStyle w:val="style0"/>
              <w:pBdr>
                <w:bottom w:val="single" w:sz="6" w:space="1" w:color="003399"/>
              </w:pBdr>
              <w:rPr/>
            </w:pPr>
          </w:p>
          <w:p w14:paraId="B49DFA1B">
            <w:pPr>
              <w:pStyle w:val="style0"/>
              <w:spacing w:before="60" w:after="30"/>
              <w:rPr/>
            </w:pPr>
            <w:r>
              <w:rPr>
                <w:b/>
                <w:bCs/>
              </w:rPr>
              <w:t>MPhil in International Relations (In Progress)</w:t>
            </w:r>
            <w:r>
              <w:rPr>
                <w:color w:val="555555"/>
                <w:sz w:val="17"/>
                <w:szCs w:val="17"/>
              </w:rPr>
              <w:t xml:space="preserve">  —  National </w:t>
            </w:r>
            <w:r>
              <w:rPr>
                <w:color w:val="555555"/>
                <w:sz w:val="17"/>
                <w:szCs w:val="17"/>
              </w:rPr>
              <w:t>Defence</w:t>
            </w:r>
            <w:r>
              <w:rPr>
                <w:color w:val="555555"/>
                <w:sz w:val="17"/>
                <w:szCs w:val="17"/>
              </w:rPr>
              <w:t xml:space="preserve"> University, Islamabad</w:t>
            </w:r>
            <w:r>
              <w:rPr>
                <w:color w:val="888888"/>
                <w:sz w:val="17"/>
                <w:szCs w:val="17"/>
              </w:rPr>
              <w:t xml:space="preserve">  ·2024</w:t>
            </w:r>
            <w:r>
              <w:rPr>
                <w:color w:val="888888"/>
                <w:sz w:val="17"/>
                <w:szCs w:val="17"/>
              </w:rPr>
              <w:t xml:space="preserve"> – Present</w:t>
            </w:r>
          </w:p>
          <w:p w14:paraId="EC1A8257">
            <w:pPr>
              <w:pStyle w:val="style0"/>
              <w:spacing w:before="60" w:after="30"/>
              <w:rPr/>
            </w:pPr>
            <w:r>
              <w:rPr>
                <w:b/>
                <w:bCs/>
              </w:rPr>
              <w:t>MSc in International Relations</w:t>
            </w:r>
            <w:r>
              <w:rPr>
                <w:color w:val="555555"/>
                <w:sz w:val="17"/>
                <w:szCs w:val="17"/>
              </w:rPr>
              <w:t xml:space="preserve">  —  NUML Islamabad</w:t>
            </w:r>
            <w:r>
              <w:rPr>
                <w:color w:val="888888"/>
                <w:sz w:val="17"/>
                <w:szCs w:val="17"/>
              </w:rPr>
              <w:t xml:space="preserve">  ·  2022</w:t>
            </w:r>
          </w:p>
          <w:p w14:paraId="12574904">
            <w:pPr>
              <w:pStyle w:val="style0"/>
              <w:spacing w:before="60" w:after="30"/>
              <w:rPr/>
            </w:pPr>
            <w:r>
              <w:rPr>
                <w:b/>
                <w:bCs/>
              </w:rPr>
              <w:t>BA in International Relations &amp; Psychology</w:t>
            </w:r>
            <w:r>
              <w:rPr>
                <w:color w:val="555555"/>
                <w:sz w:val="17"/>
                <w:szCs w:val="17"/>
              </w:rPr>
              <w:t xml:space="preserve">  —  University of the Punjab</w:t>
            </w:r>
            <w:r>
              <w:rPr>
                <w:color w:val="888888"/>
                <w:sz w:val="17"/>
                <w:szCs w:val="17"/>
              </w:rPr>
              <w:t xml:space="preserve">  ·  2018</w:t>
            </w:r>
          </w:p>
          <w:p w14:paraId="5EF651FC">
            <w:pPr>
              <w:pStyle w:val="style0"/>
              <w:spacing w:before="60" w:after="30"/>
              <w:rPr/>
            </w:pPr>
            <w:r>
              <w:rPr>
                <w:b/>
                <w:bCs/>
              </w:rPr>
              <w:t>FSc</w:t>
            </w:r>
            <w:r>
              <w:rPr>
                <w:b/>
                <w:bCs/>
              </w:rPr>
              <w:t xml:space="preserve"> Pre-Medical</w:t>
            </w:r>
            <w:r>
              <w:rPr>
                <w:color w:val="555555"/>
                <w:sz w:val="17"/>
                <w:szCs w:val="17"/>
              </w:rPr>
              <w:t xml:space="preserve">  —  VNC Rawalpindi</w:t>
            </w:r>
            <w:r>
              <w:rPr>
                <w:color w:val="888888"/>
                <w:sz w:val="17"/>
                <w:szCs w:val="17"/>
              </w:rPr>
              <w:t xml:space="preserve">  ·  2016</w:t>
            </w:r>
          </w:p>
          <w:p w14:paraId="A5F6599C">
            <w:pPr>
              <w:pStyle w:val="style0"/>
              <w:spacing w:after="60"/>
              <w:rPr/>
            </w:pPr>
          </w:p>
          <w:p w14:paraId="F7AC1D1B">
            <w:pPr>
              <w:pStyle w:val="style0"/>
              <w:spacing w:before="120" w:after="60"/>
              <w:rPr/>
            </w:pPr>
            <w:r>
              <w:rPr>
                <w:b/>
                <w:bCs/>
                <w:color w:val="003399"/>
                <w:sz w:val="19"/>
                <w:szCs w:val="19"/>
              </w:rPr>
              <w:t>RESEARCH &amp; PUBLICATIONS</w:t>
            </w:r>
          </w:p>
          <w:p w14:paraId="4FE22307">
            <w:pPr>
              <w:pStyle w:val="style0"/>
              <w:pBdr>
                <w:bottom w:val="single" w:sz="6" w:space="1" w:color="003399"/>
              </w:pBdr>
              <w:rPr/>
            </w:pPr>
          </w:p>
          <w:p w14:paraId="E2238FAD">
            <w:pPr>
              <w:pStyle w:val="style0"/>
              <w:spacing w:before="60" w:after="30"/>
              <w:rPr>
                <w:color w:val="555555"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MPhil Thesis (</w:t>
            </w:r>
            <w:r>
              <w:rPr>
                <w:b/>
                <w:bCs/>
                <w:sz w:val="17"/>
                <w:szCs w:val="17"/>
              </w:rPr>
              <w:t xml:space="preserve">In Progress):  </w:t>
            </w:r>
            <w:r>
              <w:rPr>
                <w:color w:val="555555"/>
                <w:sz w:val="17"/>
                <w:szCs w:val="17"/>
              </w:rPr>
              <w:t>“China’s Missile Technology Transfers to Iran and Its Impact on Gulf Security”</w:t>
            </w:r>
          </w:p>
          <w:p w14:paraId="931D97F0">
            <w:pPr>
              <w:pStyle w:val="style0"/>
              <w:spacing w:before="60" w:after="3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Research paper "</w:t>
            </w:r>
            <w:r>
              <w:rPr>
                <w:b w:val="false"/>
                <w:bCs w:val="false"/>
                <w:color w:val="808080"/>
                <w:lang w:val="en-US"/>
              </w:rPr>
              <w:t>China's interest in Afghanistan and importance of Pakistan"</w:t>
            </w:r>
          </w:p>
          <w:p w14:paraId="0679EDA2">
            <w:pPr>
              <w:pStyle w:val="style0"/>
              <w:spacing w:before="30"/>
              <w:rPr>
                <w:color w:val="003399"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Publication:  </w:t>
            </w:r>
            <w:r>
              <w:rPr>
                <w:color w:val="555555"/>
                <w:sz w:val="17"/>
                <w:szCs w:val="17"/>
              </w:rPr>
              <w:t xml:space="preserve">“China’s Assertive Stance on Taiwan” — </w:t>
            </w:r>
            <w:r>
              <w:rPr>
                <w:color w:val="003399"/>
                <w:sz w:val="17"/>
                <w:szCs w:val="17"/>
              </w:rPr>
              <w:t>Stratheia</w:t>
            </w:r>
            <w:r>
              <w:rPr>
                <w:color w:val="003399"/>
                <w:sz w:val="17"/>
                <w:szCs w:val="17"/>
              </w:rPr>
              <w:t xml:space="preserve"> Policy Journal</w:t>
            </w:r>
          </w:p>
          <w:p w14:paraId="23ECC020">
            <w:pPr>
              <w:pStyle w:val="style0"/>
              <w:spacing w:before="30"/>
              <w:rPr/>
            </w:pPr>
          </w:p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5D19A541">
            <w:pPr>
              <w:pStyle w:val="style0"/>
              <w:spacing w:before="120" w:after="60"/>
              <w:rPr/>
            </w:pPr>
            <w:r>
              <w:rPr>
                <w:b/>
                <w:bCs/>
                <w:color w:val="003399"/>
                <w:sz w:val="19"/>
                <w:szCs w:val="19"/>
              </w:rPr>
              <w:t>RESEARCH SKILLS</w:t>
            </w:r>
          </w:p>
          <w:p w14:paraId="FD52F2D5">
            <w:pPr>
              <w:pStyle w:val="style0"/>
              <w:pBdr>
                <w:bottom w:val="single" w:sz="6" w:space="1" w:color="003399"/>
              </w:pBdr>
              <w:rPr/>
            </w:pPr>
          </w:p>
          <w:p w14:paraId="6AB87D82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Qualitative Research Design</w:t>
            </w:r>
          </w:p>
          <w:p w14:paraId="EE614859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Policy Analysis</w:t>
            </w:r>
          </w:p>
          <w:p w14:paraId="A4EC98B0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Academic Writing</w:t>
            </w:r>
          </w:p>
          <w:p w14:paraId="CC665531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Thematic Analysis</w:t>
            </w:r>
          </w:p>
          <w:p w14:paraId="651A4AFA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Literature Review</w:t>
            </w:r>
          </w:p>
          <w:p w14:paraId="63921D75">
            <w:pPr>
              <w:pStyle w:val="style0"/>
              <w:spacing w:after="60"/>
              <w:rPr/>
            </w:pPr>
          </w:p>
          <w:p w14:paraId="C690DC82">
            <w:pPr>
              <w:pStyle w:val="style0"/>
              <w:spacing w:before="120" w:after="60"/>
              <w:rPr/>
            </w:pPr>
            <w:r>
              <w:rPr>
                <w:b/>
                <w:bCs/>
                <w:color w:val="003399"/>
                <w:sz w:val="19"/>
                <w:szCs w:val="19"/>
              </w:rPr>
              <w:t>SUBJECT EXPERTISE</w:t>
            </w:r>
          </w:p>
          <w:p w14:paraId="F9153ABA">
            <w:pPr>
              <w:pStyle w:val="style0"/>
              <w:pBdr>
                <w:bottom w:val="single" w:sz="6" w:space="1" w:color="003399"/>
              </w:pBdr>
              <w:rPr/>
            </w:pPr>
          </w:p>
          <w:p w14:paraId="D0988313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China–Iran Relations</w:t>
            </w:r>
          </w:p>
          <w:p w14:paraId="288C87CC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Missile Proliferation</w:t>
            </w:r>
          </w:p>
          <w:p w14:paraId="FA3BBCBA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Gulf Regional Security</w:t>
            </w:r>
          </w:p>
          <w:p w14:paraId="796B9CD9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Geopolitics of Asia</w:t>
            </w:r>
          </w:p>
          <w:p w14:paraId="592674D9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Pakistan Foreign Policy</w:t>
            </w:r>
          </w:p>
          <w:p w14:paraId="F5A8C571">
            <w:pPr>
              <w:pStyle w:val="style0"/>
              <w:spacing w:after="60"/>
              <w:rPr/>
            </w:pPr>
          </w:p>
          <w:p w14:paraId="5CBB751A">
            <w:pPr>
              <w:pStyle w:val="style0"/>
              <w:spacing w:before="120" w:after="60"/>
              <w:rPr/>
            </w:pPr>
            <w:r>
              <w:rPr>
                <w:b/>
                <w:bCs/>
                <w:color w:val="003399"/>
                <w:sz w:val="19"/>
                <w:szCs w:val="19"/>
              </w:rPr>
              <w:t>TECHNICAL SKILLS</w:t>
            </w:r>
          </w:p>
          <w:p w14:paraId="004088E8">
            <w:pPr>
              <w:pStyle w:val="style0"/>
              <w:pBdr>
                <w:bottom w:val="single" w:sz="6" w:space="1" w:color="003399"/>
              </w:pBdr>
              <w:rPr/>
            </w:pPr>
          </w:p>
          <w:p w14:paraId="D889250C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MS Word / PowerPoint</w:t>
            </w:r>
          </w:p>
          <w:p w14:paraId="34C54E67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MS Excel / Outlook</w:t>
            </w:r>
          </w:p>
          <w:p w14:paraId="E1EAD98B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Academic Database Research</w:t>
            </w:r>
          </w:p>
          <w:p w14:paraId="4003404C">
            <w:pPr>
              <w:pStyle w:val="style0"/>
              <w:spacing w:after="60"/>
              <w:rPr/>
            </w:pPr>
          </w:p>
          <w:p w14:paraId="485D7D79">
            <w:pPr>
              <w:pStyle w:val="style0"/>
              <w:spacing w:before="120" w:after="60"/>
              <w:rPr/>
            </w:pPr>
            <w:r>
              <w:rPr>
                <w:b/>
                <w:bCs/>
                <w:color w:val="003399"/>
                <w:sz w:val="19"/>
                <w:szCs w:val="19"/>
              </w:rPr>
              <w:t>SOFT SKILLS</w:t>
            </w:r>
          </w:p>
          <w:p w14:paraId="3652C88A">
            <w:pPr>
              <w:pStyle w:val="style0"/>
              <w:pBdr>
                <w:bottom w:val="single" w:sz="6" w:space="1" w:color="003399"/>
              </w:pBdr>
              <w:rPr/>
            </w:pPr>
          </w:p>
          <w:p w14:paraId="34E14A7E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Communication</w:t>
            </w:r>
          </w:p>
          <w:p w14:paraId="C8D3EE34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Teamwork</w:t>
            </w:r>
          </w:p>
          <w:p w14:paraId="5ED395B7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Classroom Management</w:t>
            </w:r>
          </w:p>
          <w:p w14:paraId="975423AE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Curriculum Planning</w:t>
            </w:r>
          </w:p>
          <w:p w14:paraId="BE35D769">
            <w:pPr>
              <w:pStyle w:val="style0"/>
              <w:spacing w:before="30" w:after="30"/>
              <w:rPr/>
            </w:pPr>
            <w:r>
              <w:rPr>
                <w:sz w:val="17"/>
                <w:szCs w:val="17"/>
              </w:rPr>
              <w:t>▪</w:t>
            </w:r>
            <w:r>
              <w:rPr>
                <w:sz w:val="17"/>
                <w:szCs w:val="17"/>
              </w:rPr>
              <w:t xml:space="preserve">  Student Mentoring</w:t>
            </w:r>
          </w:p>
          <w:p w14:paraId="B60AD5E1">
            <w:pPr>
              <w:pStyle w:val="style0"/>
              <w:spacing w:after="60"/>
              <w:rPr/>
            </w:pPr>
          </w:p>
          <w:p w14:paraId="1DC7ABFB">
            <w:pPr>
              <w:pStyle w:val="style0"/>
              <w:spacing w:before="120" w:after="60"/>
              <w:rPr/>
            </w:pPr>
            <w:r>
              <w:rPr>
                <w:b/>
                <w:bCs/>
                <w:color w:val="003399"/>
                <w:sz w:val="19"/>
                <w:szCs w:val="19"/>
              </w:rPr>
              <w:t>REFERENCES</w:t>
            </w:r>
          </w:p>
          <w:p w14:paraId="1A47F211">
            <w:pPr>
              <w:pStyle w:val="style0"/>
              <w:pBdr>
                <w:bottom w:val="single" w:sz="6" w:space="1" w:color="003399"/>
              </w:pBdr>
              <w:rPr/>
            </w:pPr>
          </w:p>
          <w:p w14:paraId="7CE44B9F">
            <w:pPr>
              <w:pStyle w:val="style0"/>
              <w:spacing w:before="40"/>
              <w:rPr/>
            </w:pPr>
            <w:r>
              <w:rPr>
                <w:color w:val="555555"/>
                <w:sz w:val="17"/>
                <w:szCs w:val="17"/>
              </w:rPr>
              <w:t>Available on request</w:t>
            </w:r>
          </w:p>
        </w:tc>
      </w:tr>
    </w:tbl>
    <w:p w14:paraId="0B5855B4">
      <w:pPr>
        <w:pStyle w:val="style0"/>
        <w:rPr/>
      </w:pPr>
    </w:p>
    <w:sectPr>
      <w:pgSz w:w="11906" w:h="16838" w:orient="portrait"/>
      <w:pgMar w:top="700" w:right="900" w:bottom="7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3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09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32A9FA8"/>
    <w:lvl w:ilvl="0" w:tplc="8F1CA798">
      <w:start w:val="1"/>
      <w:numFmt w:val="bullet"/>
      <w:lvlText w:val="•"/>
      <w:lvlJc w:val="left"/>
      <w:pPr>
        <w:ind w:left="360" w:hanging="220"/>
      </w:pPr>
    </w:lvl>
    <w:lvl w:ilvl="1" w:tplc="E75E9306">
      <w:start w:val="1"/>
      <w:numFmt w:val="decimal"/>
      <w:lvlText w:val=""/>
      <w:lvlJc w:val="left"/>
      <w:pPr/>
    </w:lvl>
    <w:lvl w:ilvl="2" w:tplc="B476A814">
      <w:start w:val="1"/>
      <w:numFmt w:val="decimal"/>
      <w:lvlText w:val=""/>
      <w:lvlJc w:val="left"/>
      <w:pPr/>
    </w:lvl>
    <w:lvl w:ilvl="3" w:tplc="7D4085A8">
      <w:start w:val="1"/>
      <w:numFmt w:val="decimal"/>
      <w:lvlText w:val=""/>
      <w:lvlJc w:val="left"/>
      <w:pPr/>
    </w:lvl>
    <w:lvl w:ilvl="4" w:tplc="E35037EE">
      <w:start w:val="1"/>
      <w:numFmt w:val="decimal"/>
      <w:lvlText w:val=""/>
      <w:lvlJc w:val="left"/>
      <w:pPr/>
    </w:lvl>
    <w:lvl w:ilvl="5" w:tplc="32DEC0A0">
      <w:start w:val="1"/>
      <w:numFmt w:val="decimal"/>
      <w:lvlText w:val=""/>
      <w:lvlJc w:val="left"/>
      <w:pPr/>
    </w:lvl>
    <w:lvl w:ilvl="6" w:tplc="6262BE7E">
      <w:start w:val="1"/>
      <w:numFmt w:val="decimal"/>
      <w:lvlText w:val=""/>
      <w:lvlJc w:val="left"/>
      <w:pPr/>
    </w:lvl>
    <w:lvl w:ilvl="7" w:tplc="7A7416CE">
      <w:start w:val="1"/>
      <w:numFmt w:val="decimal"/>
      <w:lvlText w:val=""/>
      <w:lvlJc w:val="left"/>
      <w:pPr/>
    </w:lvl>
    <w:lvl w:ilvl="8" w:tplc="3E5846E8">
      <w:start w:val="1"/>
      <w:numFmt w:val="decimal"/>
      <w:lvlText w:val=""/>
      <w:lvlJc w:val="left"/>
      <w:pPr/>
    </w:lvl>
  </w:abstractNum>
  <w:abstractNum w:abstractNumId="1">
    <w:nsid w:val="00000001"/>
    <w:multiLevelType w:val="hybridMultilevel"/>
    <w:tmpl w:val="BA084B74"/>
    <w:lvl w:ilvl="0" w:tplc="1856109E">
      <w:start w:val="1"/>
      <w:numFmt w:val="bullet"/>
      <w:lvlText w:val="●"/>
      <w:lvlJc w:val="left"/>
      <w:pPr>
        <w:ind w:left="720" w:hanging="360"/>
      </w:pPr>
    </w:lvl>
    <w:lvl w:ilvl="1" w:tplc="B8FA03C6">
      <w:start w:val="1"/>
      <w:numFmt w:val="bullet"/>
      <w:lvlText w:val="○"/>
      <w:lvlJc w:val="left"/>
      <w:pPr>
        <w:ind w:left="1440" w:hanging="360"/>
      </w:pPr>
    </w:lvl>
    <w:lvl w:ilvl="2" w:tplc="1C705750">
      <w:start w:val="1"/>
      <w:numFmt w:val="bullet"/>
      <w:lvlText w:val="■"/>
      <w:lvlJc w:val="left"/>
      <w:pPr>
        <w:ind w:left="2160" w:hanging="360"/>
      </w:pPr>
    </w:lvl>
    <w:lvl w:ilvl="3" w:tplc="09A8C820">
      <w:start w:val="1"/>
      <w:numFmt w:val="bullet"/>
      <w:lvlText w:val="●"/>
      <w:lvlJc w:val="left"/>
      <w:pPr>
        <w:ind w:left="2880" w:hanging="360"/>
      </w:pPr>
    </w:lvl>
    <w:lvl w:ilvl="4" w:tplc="04EC5370">
      <w:start w:val="1"/>
      <w:numFmt w:val="bullet"/>
      <w:lvlText w:val="○"/>
      <w:lvlJc w:val="left"/>
      <w:pPr>
        <w:ind w:left="3600" w:hanging="360"/>
      </w:pPr>
    </w:lvl>
    <w:lvl w:ilvl="5" w:tplc="687002C6">
      <w:start w:val="1"/>
      <w:numFmt w:val="bullet"/>
      <w:lvlText w:val="■"/>
      <w:lvlJc w:val="left"/>
      <w:pPr>
        <w:ind w:left="4320" w:hanging="360"/>
      </w:pPr>
    </w:lvl>
    <w:lvl w:ilvl="6" w:tplc="A6904CE0">
      <w:start w:val="1"/>
      <w:numFmt w:val="bullet"/>
      <w:lvlText w:val="●"/>
      <w:lvlJc w:val="left"/>
      <w:pPr>
        <w:ind w:left="5040" w:hanging="360"/>
      </w:pPr>
    </w:lvl>
    <w:lvl w:ilvl="7" w:tplc="A9BE756E">
      <w:start w:val="1"/>
      <w:numFmt w:val="bullet"/>
      <w:lvlText w:val="●"/>
      <w:lvlJc w:val="left"/>
      <w:pPr>
        <w:ind w:left="5760" w:hanging="360"/>
      </w:pPr>
    </w:lvl>
    <w:lvl w:ilvl="8" w:tplc="5EF2D7F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  <w:color w:val="1a1a1a"/>
        <w:sz w:val="18"/>
        <w:szCs w:val="18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next w:val="style1"/>
    <w:qFormat/>
    <w:pPr>
      <w:outlineLvl w:val="0"/>
    </w:pPr>
    <w:rPr>
      <w:color w:val="2e74b5"/>
      <w:sz w:val="32"/>
      <w:szCs w:val="32"/>
    </w:rPr>
  </w:style>
  <w:style w:type="paragraph" w:styleId="style2">
    <w:name w:val="heading 2"/>
    <w:next w:val="style2"/>
    <w:qFormat/>
    <w:pPr>
      <w:outlineLvl w:val="1"/>
    </w:pPr>
    <w:rPr>
      <w:color w:val="2e74b5"/>
      <w:sz w:val="26"/>
      <w:szCs w:val="26"/>
    </w:rPr>
  </w:style>
  <w:style w:type="paragraph" w:styleId="style3">
    <w:name w:val="heading 3"/>
    <w:next w:val="style3"/>
    <w:qFormat/>
    <w:pPr>
      <w:outlineLvl w:val="2"/>
    </w:pPr>
    <w:rPr>
      <w:color w:val="1f4d78"/>
      <w:sz w:val="24"/>
      <w:szCs w:val="24"/>
    </w:rPr>
  </w:style>
  <w:style w:type="paragraph" w:styleId="style4">
    <w:name w:val="heading 4"/>
    <w:next w:val="style4"/>
    <w:qFormat/>
    <w:pPr>
      <w:outlineLvl w:val="3"/>
    </w:pPr>
    <w:rPr>
      <w:i/>
      <w:iCs/>
      <w:color w:val="2e74b5"/>
    </w:rPr>
  </w:style>
  <w:style w:type="paragraph" w:styleId="style5">
    <w:name w:val="heading 5"/>
    <w:next w:val="style5"/>
    <w:qFormat/>
    <w:pPr>
      <w:outlineLvl w:val="4"/>
    </w:pPr>
    <w:rPr>
      <w:color w:val="2e74b5"/>
    </w:rPr>
  </w:style>
  <w:style w:type="paragraph" w:styleId="style6">
    <w:name w:val="heading 6"/>
    <w:next w:val="style6"/>
    <w:qFormat/>
    <w:pPr>
      <w:outlineLvl w:val="5"/>
    </w:pPr>
    <w:rPr>
      <w:color w:val="1f4d7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next w:val="style62"/>
    <w:qFormat/>
    <w:pPr/>
    <w:rPr>
      <w:sz w:val="56"/>
      <w:szCs w:val="56"/>
    </w:rPr>
  </w:style>
  <w:style w:type="paragraph" w:customStyle="1" w:styleId="style4097">
    <w:name w:val="Strong1"/>
    <w:next w:val="style4097"/>
    <w:qFormat/>
    <w:pPr/>
    <w:rPr>
      <w:b/>
      <w:bCs/>
    </w:rPr>
  </w:style>
  <w:style w:type="paragraph" w:styleId="style179">
    <w:name w:val="List Paragraph"/>
    <w:next w:val="style179"/>
    <w:qFormat/>
    <w:pPr/>
  </w:style>
  <w:style w:type="character" w:styleId="style85">
    <w:name w:val="Hyperlink"/>
    <w:next w:val="style85"/>
    <w:uiPriority w:val="99"/>
    <w:rPr>
      <w:color w:val="0563c1"/>
      <w:u w:val="single"/>
    </w:rPr>
  </w:style>
  <w:style w:type="character" w:styleId="style38">
    <w:name w:val="footnote reference"/>
    <w:next w:val="style38"/>
    <w:uiPriority w:val="99"/>
    <w:rPr>
      <w:vertAlign w:val="superscript"/>
    </w:rPr>
  </w:style>
  <w:style w:type="paragraph" w:styleId="style29">
    <w:name w:val="footnote text"/>
    <w:next w:val="style29"/>
    <w:link w:val="style4098"/>
    <w:uiPriority w:val="99"/>
    <w:pPr/>
    <w:rPr>
      <w:sz w:val="20"/>
      <w:szCs w:val="20"/>
    </w:rPr>
  </w:style>
  <w:style w:type="character" w:customStyle="1" w:styleId="style4098">
    <w:name w:val="Footnote Text Char"/>
    <w:next w:val="style4098"/>
    <w:link w:val="style29"/>
    <w:uiPriority w:val="99"/>
    <w:rPr>
      <w:sz w:val="20"/>
      <w:szCs w:val="20"/>
    </w:rPr>
  </w:style>
  <w:style w:type="character" w:styleId="style42">
    <w:name w:val="endnote reference"/>
    <w:next w:val="style42"/>
    <w:uiPriority w:val="99"/>
    <w:rPr>
      <w:vertAlign w:val="superscript"/>
    </w:rPr>
  </w:style>
  <w:style w:type="paragraph" w:styleId="style43">
    <w:name w:val="endnote text"/>
    <w:next w:val="style43"/>
    <w:link w:val="style4099"/>
    <w:uiPriority w:val="99"/>
    <w:pPr/>
    <w:rPr>
      <w:sz w:val="20"/>
      <w:szCs w:val="20"/>
    </w:rPr>
  </w:style>
  <w:style w:type="character" w:customStyle="1" w:styleId="style4099">
    <w:name w:val="Endnote Text Char"/>
    <w:next w:val="style4099"/>
    <w:link w:val="style43"/>
    <w:uiPriority w:val="99"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325</Words>
  <Pages>1</Pages>
  <Characters>2098</Characters>
  <Application>WPS Office</Application>
  <DocSecurity>0</DocSecurity>
  <Paragraphs>71</Paragraphs>
  <ScaleCrop>false</ScaleCrop>
  <LinksUpToDate>false</LinksUpToDate>
  <CharactersWithSpaces>2423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2026-06-27T15:03:00Z</dcterms:created>
  <dc:creator>Un-named</dc:creator>
  <lastModifiedBy>M2101K7AG</lastModifiedBy>
  <dcterms:modified xsi:type="dcterms:W3CDTF">2026-06-29T12:46:07Z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f708eddb358247f28a672609b4f77c00_23</vt:lpwstr>
  </property>
</Properties>
</file>